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37"/>
        <w:gridCol w:w="817"/>
        <w:gridCol w:w="1955"/>
        <w:gridCol w:w="765"/>
        <w:gridCol w:w="1680"/>
        <w:gridCol w:w="1119"/>
        <w:gridCol w:w="75"/>
        <w:gridCol w:w="1061"/>
      </w:tblGrid>
      <w:tr w:rsidR="00763F80" w:rsidTr="003177EB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472" w:type="dxa"/>
            <w:gridSpan w:val="7"/>
            <w:shd w:val="clear" w:color="auto" w:fill="auto"/>
            <w:noWrap/>
            <w:vAlign w:val="center"/>
          </w:tcPr>
          <w:p w:rsidR="00763F80" w:rsidRPr="00AD4270" w:rsidRDefault="00763F80" w:rsidP="00011309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DB0E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CENNET YILDIZ</w:t>
            </w:r>
          </w:p>
        </w:tc>
      </w:tr>
      <w:tr w:rsidR="00763F80" w:rsidTr="003177EB">
        <w:trPr>
          <w:trHeight w:val="3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AD4270" w:rsidRDefault="00763F80" w:rsidP="00011309">
            <w:pPr>
              <w:rPr>
                <w:b/>
                <w:sz w:val="22"/>
                <w:szCs w:val="22"/>
              </w:rPr>
            </w:pPr>
          </w:p>
        </w:tc>
      </w:tr>
      <w:tr w:rsidR="00763F80" w:rsidTr="003177EB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472" w:type="dxa"/>
            <w:gridSpan w:val="7"/>
            <w:shd w:val="clear" w:color="auto" w:fill="auto"/>
            <w:noWrap/>
            <w:vAlign w:val="center"/>
          </w:tcPr>
          <w:p w:rsidR="00763F80" w:rsidRPr="00AD4270" w:rsidRDefault="00763F80" w:rsidP="00011309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25.08.1973</w:t>
            </w:r>
          </w:p>
        </w:tc>
      </w:tr>
      <w:tr w:rsidR="00763F80" w:rsidTr="003177EB">
        <w:trPr>
          <w:trHeight w:val="3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AD4270" w:rsidRDefault="00763F80" w:rsidP="00011309">
            <w:pPr>
              <w:rPr>
                <w:b/>
                <w:sz w:val="22"/>
                <w:szCs w:val="22"/>
              </w:rPr>
            </w:pPr>
          </w:p>
        </w:tc>
      </w:tr>
      <w:tr w:rsidR="00763F80" w:rsidTr="003177EB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472" w:type="dxa"/>
            <w:gridSpan w:val="7"/>
            <w:shd w:val="clear" w:color="auto" w:fill="auto"/>
            <w:noWrap/>
            <w:vAlign w:val="center"/>
          </w:tcPr>
          <w:p w:rsidR="00763F80" w:rsidRPr="00AD4270" w:rsidRDefault="00763F80" w:rsidP="00DB0E1A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DB0E1A">
              <w:rPr>
                <w:b/>
                <w:sz w:val="22"/>
                <w:szCs w:val="22"/>
              </w:rPr>
              <w:t xml:space="preserve"> DR. ÖĞR. ÜYESİ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3F80" w:rsidTr="003177EB">
        <w:trPr>
          <w:trHeight w:val="3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AD4270" w:rsidRDefault="00763F80" w:rsidP="00011309">
            <w:pPr>
              <w:rPr>
                <w:b/>
                <w:sz w:val="22"/>
                <w:szCs w:val="22"/>
              </w:rPr>
            </w:pPr>
          </w:p>
        </w:tc>
      </w:tr>
      <w:tr w:rsidR="00763F80" w:rsidTr="003177EB">
        <w:trPr>
          <w:trHeight w:val="300"/>
        </w:trPr>
        <w:tc>
          <w:tcPr>
            <w:tcW w:w="2205" w:type="dxa"/>
            <w:gridSpan w:val="2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472" w:type="dxa"/>
            <w:gridSpan w:val="7"/>
            <w:shd w:val="clear" w:color="auto" w:fill="auto"/>
            <w:noWrap/>
            <w:vAlign w:val="center"/>
          </w:tcPr>
          <w:p w:rsidR="00763F80" w:rsidRPr="00AD4270" w:rsidRDefault="00763F80" w:rsidP="00DB0E1A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DB0E1A">
              <w:rPr>
                <w:b/>
                <w:sz w:val="22"/>
                <w:szCs w:val="22"/>
              </w:rPr>
              <w:t xml:space="preserve"> DOKTORA</w:t>
            </w:r>
            <w:bookmarkStart w:id="0" w:name="_GoBack"/>
            <w:bookmarkEnd w:id="0"/>
          </w:p>
        </w:tc>
      </w:tr>
      <w:tr w:rsidR="00763F80" w:rsidTr="003177EB">
        <w:trPr>
          <w:trHeight w:val="300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763F80" w:rsidTr="003177EB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763F80" w:rsidTr="003177EB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Tıp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İstanbul Üniversitesi Cerrahpaşa Tıp Fakültesi (İngilizce bölümü)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1991-1998</w:t>
            </w:r>
          </w:p>
        </w:tc>
      </w:tr>
      <w:tr w:rsidR="00763F80" w:rsidTr="003177EB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63F80" w:rsidTr="003177EB">
        <w:trPr>
          <w:trHeight w:val="31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Kardiyoloji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İstanbul Üniversitesi Haseki Kardiyoloji </w:t>
            </w:r>
            <w:proofErr w:type="spellStart"/>
            <w:r>
              <w:rPr>
                <w:sz w:val="22"/>
                <w:szCs w:val="22"/>
              </w:rPr>
              <w:t>Ensitüsü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1998-2003</w:t>
            </w:r>
          </w:p>
        </w:tc>
      </w:tr>
      <w:tr w:rsidR="00763F80" w:rsidTr="003177EB">
        <w:trPr>
          <w:trHeight w:val="1210"/>
        </w:trPr>
        <w:tc>
          <w:tcPr>
            <w:tcW w:w="96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763F80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3F80" w:rsidTr="003177EB">
        <w:trPr>
          <w:trHeight w:val="3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763F80" w:rsidTr="003177EB">
        <w:trPr>
          <w:trHeight w:val="6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</w:p>
        </w:tc>
      </w:tr>
      <w:tr w:rsidR="00763F80" w:rsidTr="003177EB">
        <w:trPr>
          <w:trHeight w:val="12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763F80" w:rsidTr="003177EB">
        <w:trPr>
          <w:trHeight w:val="9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Default="00763F80" w:rsidP="00011309">
            <w:pPr>
              <w:rPr>
                <w:sz w:val="22"/>
                <w:szCs w:val="22"/>
              </w:rPr>
            </w:pPr>
            <w:r w:rsidRPr="00EE6FFF">
              <w:rPr>
                <w:b/>
                <w:bCs/>
                <w:sz w:val="22"/>
                <w:szCs w:val="22"/>
              </w:rPr>
              <w:t xml:space="preserve">6.2. Doktora </w:t>
            </w:r>
            <w:proofErr w:type="gramStart"/>
            <w:r w:rsidRPr="00EE6FFF">
              <w:rPr>
                <w:b/>
                <w:bCs/>
                <w:sz w:val="22"/>
                <w:szCs w:val="22"/>
              </w:rPr>
              <w:t>Tezleri</w:t>
            </w:r>
            <w:r w:rsidRPr="0032266C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32266C">
              <w:rPr>
                <w:bCs/>
                <w:sz w:val="22"/>
                <w:szCs w:val="22"/>
              </w:rPr>
              <w:t>Dilate</w:t>
            </w:r>
            <w:proofErr w:type="spellEnd"/>
            <w:proofErr w:type="gramEnd"/>
            <w:r w:rsidRPr="003226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266C">
              <w:rPr>
                <w:bCs/>
                <w:sz w:val="22"/>
                <w:szCs w:val="22"/>
              </w:rPr>
              <w:t>Kardiyomiyopatili</w:t>
            </w:r>
            <w:proofErr w:type="spellEnd"/>
            <w:r w:rsidRPr="003226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266C">
              <w:rPr>
                <w:bCs/>
                <w:sz w:val="22"/>
                <w:szCs w:val="22"/>
              </w:rPr>
              <w:t>Hastarda</w:t>
            </w:r>
            <w:proofErr w:type="spellEnd"/>
            <w:r w:rsidRPr="003226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2266C">
              <w:rPr>
                <w:bCs/>
                <w:sz w:val="22"/>
                <w:szCs w:val="22"/>
              </w:rPr>
              <w:t>Trimetazidin</w:t>
            </w:r>
            <w:proofErr w:type="spellEnd"/>
            <w:r w:rsidRPr="0032266C">
              <w:rPr>
                <w:bCs/>
                <w:sz w:val="22"/>
                <w:szCs w:val="22"/>
              </w:rPr>
              <w:t xml:space="preserve"> Etkilerinin Doku </w:t>
            </w:r>
            <w:proofErr w:type="spellStart"/>
            <w:r w:rsidRPr="0032266C">
              <w:rPr>
                <w:bCs/>
                <w:sz w:val="22"/>
                <w:szCs w:val="22"/>
              </w:rPr>
              <w:t>Doppler</w:t>
            </w:r>
            <w:proofErr w:type="spellEnd"/>
            <w:r w:rsidRPr="0032266C">
              <w:rPr>
                <w:bCs/>
                <w:sz w:val="22"/>
                <w:szCs w:val="22"/>
              </w:rPr>
              <w:t xml:space="preserve"> ile Değerlendirilmesi.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63F80" w:rsidTr="003177EB">
        <w:trPr>
          <w:trHeight w:val="9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47520D" w:rsidRDefault="00763F80" w:rsidP="000113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763F80" w:rsidRPr="00C7486C" w:rsidTr="003177EB">
        <w:trPr>
          <w:trHeight w:val="12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7F6AF1" w:rsidRDefault="00763F80" w:rsidP="00011309">
            <w:pPr>
              <w:jc w:val="both"/>
              <w:rPr>
                <w:b/>
                <w:bCs/>
              </w:rPr>
            </w:pPr>
            <w:r w:rsidRPr="007F6AF1">
              <w:rPr>
                <w:b/>
                <w:bCs/>
              </w:rPr>
              <w:t xml:space="preserve">7.1. Uluslararası hakemli dergilerde yayınlanan makaleler </w:t>
            </w:r>
          </w:p>
          <w:p w:rsidR="00763F80" w:rsidRPr="007F6AF1" w:rsidRDefault="00763F80" w:rsidP="00011309">
            <w:pPr>
              <w:pStyle w:val="NormalWeb"/>
              <w:spacing w:line="272" w:lineRule="atLeast"/>
              <w:jc w:val="both"/>
            </w:pPr>
            <w:r w:rsidRPr="007F6AF1">
              <w:t xml:space="preserve">Y Güneş, </w:t>
            </w:r>
            <w:r w:rsidRPr="007F6AF1">
              <w:rPr>
                <w:b/>
                <w:bCs/>
              </w:rPr>
              <w:t>C Erbaş</w:t>
            </w:r>
            <w:r w:rsidRPr="007F6AF1">
              <w:t xml:space="preserve">, B </w:t>
            </w:r>
            <w:proofErr w:type="spellStart"/>
            <w:r w:rsidRPr="007F6AF1">
              <w:t>Ökçün</w:t>
            </w:r>
            <w:proofErr w:type="spellEnd"/>
            <w:r w:rsidRPr="007F6AF1">
              <w:t xml:space="preserve">, E Babalık. A </w:t>
            </w:r>
            <w:proofErr w:type="spellStart"/>
            <w:r w:rsidRPr="007F6AF1">
              <w:t>case</w:t>
            </w:r>
            <w:proofErr w:type="spellEnd"/>
            <w:r w:rsidRPr="007F6AF1">
              <w:t xml:space="preserve"> of </w:t>
            </w:r>
            <w:proofErr w:type="spellStart"/>
            <w:r w:rsidRPr="007F6AF1">
              <w:t>ventricular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septal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aneurysym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producing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right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ventricular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outflow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obstruction</w:t>
            </w:r>
            <w:proofErr w:type="spellEnd"/>
            <w:r w:rsidRPr="007F6AF1">
              <w:t xml:space="preserve"> in an </w:t>
            </w:r>
            <w:proofErr w:type="spellStart"/>
            <w:r w:rsidRPr="007F6AF1">
              <w:t>adult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patient</w:t>
            </w:r>
            <w:proofErr w:type="spellEnd"/>
            <w:r w:rsidRPr="007F6AF1">
              <w:t xml:space="preserve">. </w:t>
            </w:r>
            <w:proofErr w:type="spellStart"/>
            <w:r w:rsidRPr="007F6AF1">
              <w:t>The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Anatolian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Journal</w:t>
            </w:r>
            <w:proofErr w:type="spellEnd"/>
            <w:r w:rsidRPr="007F6AF1">
              <w:t xml:space="preserve"> of </w:t>
            </w:r>
            <w:proofErr w:type="spellStart"/>
            <w:r w:rsidRPr="007F6AF1">
              <w:t>Cardiology</w:t>
            </w:r>
            <w:proofErr w:type="spellEnd"/>
            <w:r w:rsidRPr="007F6AF1">
              <w:t xml:space="preserve"> 2004; 4:346-347. </w:t>
            </w:r>
          </w:p>
          <w:p w:rsidR="00763F80" w:rsidRPr="007F6AF1" w:rsidRDefault="00763F80" w:rsidP="00011309">
            <w:pPr>
              <w:pStyle w:val="NormalWeb"/>
              <w:spacing w:line="272" w:lineRule="atLeast"/>
              <w:jc w:val="both"/>
            </w:pPr>
            <w:r w:rsidRPr="007F6AF1">
              <w:t xml:space="preserve">Y Güneş, B </w:t>
            </w:r>
            <w:proofErr w:type="spellStart"/>
            <w:r w:rsidRPr="007F6AF1">
              <w:t>Ökçün</w:t>
            </w:r>
            <w:proofErr w:type="spellEnd"/>
            <w:r w:rsidRPr="007F6AF1">
              <w:t xml:space="preserve">, E Kavlak, </w:t>
            </w:r>
            <w:r w:rsidRPr="007F6AF1">
              <w:rPr>
                <w:b/>
                <w:bCs/>
              </w:rPr>
              <w:t>C Erbaş,</w:t>
            </w:r>
            <w:r w:rsidRPr="007F6AF1">
              <w:t xml:space="preserve"> S </w:t>
            </w:r>
            <w:proofErr w:type="spellStart"/>
            <w:r w:rsidRPr="007F6AF1">
              <w:t>Karcier</w:t>
            </w:r>
            <w:proofErr w:type="spellEnd"/>
            <w:r w:rsidRPr="007F6AF1">
              <w:t xml:space="preserve">. Value of </w:t>
            </w:r>
            <w:proofErr w:type="spellStart"/>
            <w:r w:rsidRPr="007F6AF1">
              <w:t>brain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natriuretic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peptide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after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acute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myocardial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infarction</w:t>
            </w:r>
            <w:proofErr w:type="spellEnd"/>
            <w:r w:rsidRPr="007F6AF1">
              <w:t xml:space="preserve">. </w:t>
            </w:r>
            <w:proofErr w:type="spellStart"/>
            <w:r w:rsidRPr="007F6AF1">
              <w:t>The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Anatoilan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Journal</w:t>
            </w:r>
            <w:proofErr w:type="spellEnd"/>
            <w:r w:rsidRPr="007F6AF1">
              <w:t xml:space="preserve"> of </w:t>
            </w:r>
            <w:proofErr w:type="spellStart"/>
            <w:r w:rsidRPr="007F6AF1">
              <w:t>Cardiology</w:t>
            </w:r>
            <w:proofErr w:type="spellEnd"/>
            <w:r w:rsidRPr="007F6AF1">
              <w:t xml:space="preserve"> 2008; 8:181-187. </w:t>
            </w:r>
          </w:p>
          <w:p w:rsidR="00763F80" w:rsidRPr="007F6AF1" w:rsidRDefault="00763F80" w:rsidP="00011309">
            <w:pPr>
              <w:pStyle w:val="NormalWeb"/>
              <w:spacing w:line="272" w:lineRule="atLeast"/>
              <w:jc w:val="both"/>
            </w:pPr>
            <w:r w:rsidRPr="007F6AF1">
              <w:t xml:space="preserve">Y Güneş, </w:t>
            </w:r>
            <w:r w:rsidRPr="007F6AF1">
              <w:rPr>
                <w:b/>
                <w:bCs/>
              </w:rPr>
              <w:t>C Erbaş</w:t>
            </w:r>
            <w:r w:rsidRPr="007F6AF1">
              <w:t xml:space="preserve">, E Okuyan, E Babalık, T Gürmen. </w:t>
            </w:r>
            <w:proofErr w:type="spellStart"/>
            <w:r w:rsidRPr="007F6AF1">
              <w:t>Myocardial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infarction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with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intracoronary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thrombus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induced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by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anabolic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steroids</w:t>
            </w:r>
            <w:proofErr w:type="spellEnd"/>
            <w:r w:rsidRPr="007F6AF1">
              <w:t xml:space="preserve">. </w:t>
            </w:r>
            <w:proofErr w:type="spellStart"/>
            <w:r w:rsidRPr="007F6AF1">
              <w:t>The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Anatolian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Journal</w:t>
            </w:r>
            <w:proofErr w:type="spellEnd"/>
            <w:r w:rsidRPr="007F6AF1">
              <w:t xml:space="preserve"> of </w:t>
            </w:r>
            <w:proofErr w:type="spellStart"/>
            <w:r w:rsidRPr="007F6AF1">
              <w:t>Cardiology</w:t>
            </w:r>
            <w:proofErr w:type="spellEnd"/>
            <w:r w:rsidRPr="007F6AF1">
              <w:t xml:space="preserve">. 2004;4:357-358. </w:t>
            </w:r>
          </w:p>
          <w:p w:rsidR="00763F80" w:rsidRPr="0019727E" w:rsidRDefault="00763F80" w:rsidP="00011309">
            <w:pPr>
              <w:pStyle w:val="Default"/>
              <w:rPr>
                <w:rFonts w:ascii="Times New Roman" w:hAnsi="Times New Roman" w:cs="Times New Roman"/>
              </w:rPr>
            </w:pPr>
            <w:r w:rsidRPr="0019727E">
              <w:rPr>
                <w:rFonts w:ascii="Times New Roman" w:hAnsi="Times New Roman" w:cs="Times New Roman"/>
              </w:rPr>
              <w:t xml:space="preserve">Mutlu H, </w:t>
            </w:r>
            <w:proofErr w:type="spellStart"/>
            <w:r w:rsidRPr="0019727E">
              <w:rPr>
                <w:rFonts w:ascii="Times New Roman" w:hAnsi="Times New Roman" w:cs="Times New Roman"/>
              </w:rPr>
              <w:t>Ozhan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H, </w:t>
            </w:r>
            <w:proofErr w:type="spellStart"/>
            <w:r w:rsidRPr="0019727E">
              <w:rPr>
                <w:rFonts w:ascii="Times New Roman" w:hAnsi="Times New Roman" w:cs="Times New Roman"/>
              </w:rPr>
              <w:t>Okçün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B, Okuyan E, Yiğit Z, </w:t>
            </w:r>
            <w:r w:rsidRPr="0019727E">
              <w:rPr>
                <w:rFonts w:ascii="Times New Roman" w:hAnsi="Times New Roman" w:cs="Times New Roman"/>
                <w:b/>
                <w:bCs/>
              </w:rPr>
              <w:t>Erbaş C</w:t>
            </w:r>
            <w:r w:rsidRPr="0019727E">
              <w:rPr>
                <w:rFonts w:ascii="Times New Roman" w:hAnsi="Times New Roman" w:cs="Times New Roman"/>
              </w:rPr>
              <w:t xml:space="preserve">, Küçükoğlu MS, Gültekin N, </w:t>
            </w:r>
            <w:proofErr w:type="spellStart"/>
            <w:r w:rsidRPr="0019727E">
              <w:rPr>
                <w:rFonts w:ascii="Times New Roman" w:hAnsi="Times New Roman" w:cs="Times New Roman"/>
              </w:rPr>
              <w:t>Uner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19727E">
              <w:rPr>
                <w:rFonts w:ascii="Times New Roman" w:hAnsi="Times New Roman" w:cs="Times New Roman"/>
              </w:rPr>
              <w:t>Erdine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S, Güven O. </w:t>
            </w:r>
            <w:proofErr w:type="spellStart"/>
            <w:r w:rsidRPr="0019727E">
              <w:rPr>
                <w:rFonts w:ascii="Times New Roman" w:hAnsi="Times New Roman" w:cs="Times New Roman"/>
              </w:rPr>
              <w:t>The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efficiacy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9727E">
              <w:rPr>
                <w:rFonts w:ascii="Times New Roman" w:hAnsi="Times New Roman" w:cs="Times New Roman"/>
              </w:rPr>
              <w:t>valsartan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9727E">
              <w:rPr>
                <w:rFonts w:ascii="Times New Roman" w:hAnsi="Times New Roman" w:cs="Times New Roman"/>
              </w:rPr>
              <w:t>essential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hypertension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and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its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effects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19727E">
              <w:rPr>
                <w:rFonts w:ascii="Times New Roman" w:hAnsi="Times New Roman" w:cs="Times New Roman"/>
              </w:rPr>
              <w:t>left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ventricular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hypertrophy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. Blood </w:t>
            </w:r>
            <w:proofErr w:type="spellStart"/>
            <w:r w:rsidRPr="0019727E">
              <w:rPr>
                <w:rFonts w:ascii="Times New Roman" w:hAnsi="Times New Roman" w:cs="Times New Roman"/>
              </w:rPr>
              <w:t>Press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. 2002;11(1) 53-55.   </w:t>
            </w:r>
            <w:hyperlink r:id="rId4" w:history="1">
              <w:r w:rsidRPr="0019727E">
                <w:rPr>
                  <w:rStyle w:val="Kpr"/>
                  <w:rFonts w:ascii="Times New Roman" w:hAnsi="Times New Roman" w:cs="Times New Roman"/>
                </w:rPr>
                <w:t>http://www.tandfonline.com/doi/pdf/10.1080/080370502753543963</w:t>
              </w:r>
            </w:hyperlink>
          </w:p>
          <w:p w:rsidR="00763F80" w:rsidRPr="0019727E" w:rsidRDefault="00763F80" w:rsidP="00011309">
            <w:pPr>
              <w:pStyle w:val="Default"/>
              <w:rPr>
                <w:rFonts w:ascii="Times New Roman" w:hAnsi="Times New Roman" w:cs="Times New Roman"/>
              </w:rPr>
            </w:pPr>
          </w:p>
          <w:p w:rsidR="00763F80" w:rsidRPr="0019727E" w:rsidRDefault="00763F80" w:rsidP="00011309">
            <w:pPr>
              <w:pStyle w:val="Default"/>
              <w:rPr>
                <w:rFonts w:ascii="Times New Roman" w:hAnsi="Times New Roman" w:cs="Times New Roman"/>
              </w:rPr>
            </w:pPr>
            <w:r w:rsidRPr="0019727E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</w:rPr>
              <w:t>Abdulmelik</w:t>
            </w:r>
            <w:proofErr w:type="spellEnd"/>
            <w:r w:rsidRPr="0019727E">
              <w:rPr>
                <w:rFonts w:ascii="Times New Roman" w:hAnsi="Times New Roman" w:cs="Times New Roman"/>
              </w:rPr>
              <w:t xml:space="preserve"> Yıldız, </w:t>
            </w:r>
            <w:r w:rsidRPr="0019727E">
              <w:rPr>
                <w:rFonts w:ascii="Times New Roman" w:hAnsi="Times New Roman" w:cs="Times New Roman"/>
                <w:b/>
              </w:rPr>
              <w:t>Cennet Yıldız</w:t>
            </w:r>
            <w:r w:rsidRPr="0019727E">
              <w:rPr>
                <w:rFonts w:ascii="Times New Roman" w:hAnsi="Times New Roman" w:cs="Times New Roman"/>
              </w:rPr>
              <w:t xml:space="preserve">, Fatih Tekiner, Bayram Bağırtan,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Preprocedural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Neutrophil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Lymphocyte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Ratio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Predicts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Coronary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Artery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bCs/>
              </w:rPr>
              <w:t>Perforation</w:t>
            </w:r>
            <w:proofErr w:type="spellEnd"/>
            <w:r w:rsidRPr="00197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Asian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Journal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Pharmacy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Nursing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Medical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Sciences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(ISSN: 2321 – 3639) Volume 02 – </w:t>
            </w:r>
            <w:proofErr w:type="spellStart"/>
            <w:r w:rsidRPr="0019727E">
              <w:rPr>
                <w:rFonts w:ascii="Times New Roman" w:hAnsi="Times New Roman" w:cs="Times New Roman"/>
                <w:i/>
                <w:iCs/>
              </w:rPr>
              <w:t>Issue</w:t>
            </w:r>
            <w:proofErr w:type="spellEnd"/>
            <w:r w:rsidRPr="0019727E">
              <w:rPr>
                <w:rFonts w:ascii="Times New Roman" w:hAnsi="Times New Roman" w:cs="Times New Roman"/>
                <w:i/>
                <w:iCs/>
              </w:rPr>
              <w:t xml:space="preserve"> 02, April 2014</w:t>
            </w:r>
          </w:p>
          <w:p w:rsidR="00763F80" w:rsidRPr="0019727E" w:rsidRDefault="00763F80" w:rsidP="00011309">
            <w:pPr>
              <w:pStyle w:val="NormalWeb"/>
              <w:spacing w:line="272" w:lineRule="atLeast"/>
              <w:jc w:val="both"/>
              <w:rPr>
                <w:color w:val="231F20"/>
              </w:rPr>
            </w:pPr>
            <w:r w:rsidRPr="0019727E">
              <w:rPr>
                <w:b/>
              </w:rPr>
              <w:t>Yıldız C</w:t>
            </w:r>
            <w:r w:rsidRPr="0019727E">
              <w:t xml:space="preserve">, Yıldız A, Tekiner F. </w:t>
            </w:r>
            <w:proofErr w:type="spellStart"/>
            <w:r w:rsidRPr="0019727E">
              <w:t>Heart</w:t>
            </w:r>
            <w:proofErr w:type="spellEnd"/>
            <w:r w:rsidRPr="0019727E">
              <w:t xml:space="preserve"> rate </w:t>
            </w:r>
            <w:proofErr w:type="spellStart"/>
            <w:r w:rsidRPr="0019727E">
              <w:t>turbulence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analysis</w:t>
            </w:r>
            <w:proofErr w:type="spellEnd"/>
            <w:r w:rsidRPr="0019727E">
              <w:t xml:space="preserve"> in </w:t>
            </w:r>
            <w:proofErr w:type="spellStart"/>
            <w:r w:rsidRPr="0019727E">
              <w:t>subclinical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hypothroidism</w:t>
            </w:r>
            <w:proofErr w:type="spellEnd"/>
            <w:r w:rsidRPr="0019727E">
              <w:t xml:space="preserve">. </w:t>
            </w:r>
            <w:proofErr w:type="spellStart"/>
            <w:r w:rsidRPr="0019727E">
              <w:rPr>
                <w:bCs/>
                <w:color w:val="231F20"/>
              </w:rPr>
              <w:t>Acta</w:t>
            </w:r>
            <w:proofErr w:type="spellEnd"/>
            <w:r w:rsidRPr="0019727E">
              <w:rPr>
                <w:bCs/>
                <w:color w:val="231F20"/>
              </w:rPr>
              <w:t xml:space="preserve"> </w:t>
            </w:r>
            <w:proofErr w:type="spellStart"/>
            <w:r w:rsidRPr="0019727E">
              <w:rPr>
                <w:bCs/>
                <w:color w:val="231F20"/>
              </w:rPr>
              <w:t>Cardiol</w:t>
            </w:r>
            <w:proofErr w:type="spellEnd"/>
            <w:r w:rsidRPr="0019727E">
              <w:rPr>
                <w:bCs/>
                <w:color w:val="231F20"/>
              </w:rPr>
              <w:t xml:space="preserve"> Sin 2015;31:444_448. </w:t>
            </w:r>
            <w:proofErr w:type="spellStart"/>
            <w:r w:rsidRPr="0019727E">
              <w:rPr>
                <w:color w:val="231F20"/>
              </w:rPr>
              <w:t>doi</w:t>
            </w:r>
            <w:proofErr w:type="spellEnd"/>
            <w:r w:rsidRPr="0019727E">
              <w:rPr>
                <w:color w:val="231F20"/>
              </w:rPr>
              <w:t>: 10.6515/ACS20150428A</w:t>
            </w:r>
          </w:p>
          <w:p w:rsidR="00763F80" w:rsidRPr="0019727E" w:rsidRDefault="00763F80" w:rsidP="00011309">
            <w:pPr>
              <w:pStyle w:val="Balk4"/>
              <w:jc w:val="both"/>
              <w:rPr>
                <w:b w:val="0"/>
                <w:color w:val="000000"/>
              </w:rPr>
            </w:pPr>
            <w:r w:rsidRPr="0019727E">
              <w:rPr>
                <w:b w:val="0"/>
                <w:color w:val="000000"/>
              </w:rPr>
              <w:t xml:space="preserve">Ahmet </w:t>
            </w:r>
            <w:proofErr w:type="spellStart"/>
            <w:r w:rsidRPr="0019727E">
              <w:rPr>
                <w:b w:val="0"/>
                <w:color w:val="000000"/>
              </w:rPr>
              <w:t>Karakurt</w:t>
            </w:r>
            <w:proofErr w:type="spellEnd"/>
            <w:r w:rsidRPr="0019727E">
              <w:rPr>
                <w:b w:val="0"/>
                <w:color w:val="000000"/>
              </w:rPr>
              <w:t xml:space="preserve">, </w:t>
            </w:r>
            <w:r w:rsidRPr="0019727E">
              <w:rPr>
                <w:color w:val="000000"/>
              </w:rPr>
              <w:t xml:space="preserve">Cennet </w:t>
            </w:r>
            <w:proofErr w:type="spellStart"/>
            <w:r w:rsidRPr="0019727E">
              <w:rPr>
                <w:color w:val="000000"/>
              </w:rPr>
              <w:t>Yildiz</w:t>
            </w:r>
            <w:proofErr w:type="spellEnd"/>
            <w:r w:rsidRPr="0019727E">
              <w:rPr>
                <w:color w:val="000000"/>
              </w:rPr>
              <w:t>,</w:t>
            </w:r>
            <w:r w:rsidRPr="0019727E">
              <w:rPr>
                <w:b w:val="0"/>
                <w:color w:val="000000"/>
              </w:rPr>
              <w:t xml:space="preserve"> Abdülmelik </w:t>
            </w:r>
            <w:proofErr w:type="spellStart"/>
            <w:r w:rsidRPr="0019727E">
              <w:rPr>
                <w:b w:val="0"/>
                <w:color w:val="000000"/>
              </w:rPr>
              <w:t>Yildiz</w:t>
            </w:r>
            <w:proofErr w:type="spellEnd"/>
            <w:r w:rsidRPr="0019727E">
              <w:rPr>
                <w:b w:val="0"/>
                <w:color w:val="000000"/>
              </w:rPr>
              <w:t xml:space="preserve">, Serdar Başbuğ. </w:t>
            </w:r>
            <w:hyperlink r:id="rId5" w:history="1">
              <w:proofErr w:type="spellStart"/>
              <w:r w:rsidRPr="0019727E">
                <w:rPr>
                  <w:b w:val="0"/>
                  <w:color w:val="000000"/>
                </w:rPr>
                <w:t>Amiodarone-Induced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Exudative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Bullous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Lesion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and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Hepatotoxicity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in a </w:t>
              </w:r>
              <w:proofErr w:type="spellStart"/>
              <w:r w:rsidRPr="0019727E">
                <w:rPr>
                  <w:b w:val="0"/>
                  <w:color w:val="000000"/>
                </w:rPr>
                <w:t>Patient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with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Ventricular</w:t>
              </w:r>
              <w:proofErr w:type="spellEnd"/>
              <w:r w:rsidRPr="0019727E">
                <w:rPr>
                  <w:b w:val="0"/>
                  <w:color w:val="000000"/>
                </w:rPr>
                <w:t xml:space="preserve"> </w:t>
              </w:r>
              <w:proofErr w:type="spellStart"/>
              <w:r w:rsidRPr="0019727E">
                <w:rPr>
                  <w:b w:val="0"/>
                  <w:color w:val="000000"/>
                </w:rPr>
                <w:t>Tachycardia</w:t>
              </w:r>
              <w:proofErr w:type="spellEnd"/>
            </w:hyperlink>
            <w:r w:rsidRPr="0019727E">
              <w:rPr>
                <w:b w:val="0"/>
                <w:color w:val="000000"/>
              </w:rPr>
              <w:t xml:space="preserve"> International </w:t>
            </w:r>
            <w:proofErr w:type="spellStart"/>
            <w:r w:rsidRPr="0019727E">
              <w:rPr>
                <w:b w:val="0"/>
                <w:color w:val="000000"/>
              </w:rPr>
              <w:t>Journal</w:t>
            </w:r>
            <w:proofErr w:type="spellEnd"/>
            <w:r w:rsidRPr="0019727E">
              <w:rPr>
                <w:b w:val="0"/>
                <w:color w:val="000000"/>
              </w:rPr>
              <w:t xml:space="preserve"> of </w:t>
            </w:r>
            <w:proofErr w:type="spellStart"/>
            <w:r w:rsidRPr="0019727E">
              <w:rPr>
                <w:b w:val="0"/>
                <w:color w:val="000000"/>
              </w:rPr>
              <w:t>Cardivascular</w:t>
            </w:r>
            <w:proofErr w:type="spellEnd"/>
            <w:r w:rsidRPr="0019727E">
              <w:rPr>
                <w:b w:val="0"/>
                <w:color w:val="000000"/>
              </w:rPr>
              <w:t xml:space="preserve"> Acadamy.1 (2015) 62-</w:t>
            </w:r>
            <w:proofErr w:type="gramStart"/>
            <w:r w:rsidRPr="0019727E">
              <w:rPr>
                <w:b w:val="0"/>
                <w:color w:val="000000"/>
              </w:rPr>
              <w:t xml:space="preserve">65  </w:t>
            </w:r>
            <w:proofErr w:type="spellStart"/>
            <w:r w:rsidRPr="0019727E">
              <w:rPr>
                <w:b w:val="0"/>
                <w:color w:val="000000"/>
              </w:rPr>
              <w:t>doi</w:t>
            </w:r>
            <w:proofErr w:type="spellEnd"/>
            <w:proofErr w:type="gramEnd"/>
            <w:r w:rsidRPr="0019727E">
              <w:rPr>
                <w:b w:val="0"/>
                <w:color w:val="000000"/>
              </w:rPr>
              <w:t>: 10.1016/j.ijcac.2015.10.003</w:t>
            </w: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9727E">
              <w:t>Abdulmelik</w:t>
            </w:r>
            <w:proofErr w:type="spellEnd"/>
            <w:r w:rsidRPr="0019727E">
              <w:t xml:space="preserve"> Yıldız, </w:t>
            </w:r>
            <w:r w:rsidRPr="0019727E">
              <w:rPr>
                <w:b/>
              </w:rPr>
              <w:t>Cennet Yıldız.</w:t>
            </w:r>
            <w:r w:rsidRPr="0019727E">
              <w:t xml:space="preserve"> </w:t>
            </w:r>
            <w:proofErr w:type="spellStart"/>
            <w:r w:rsidRPr="0019727E">
              <w:t>Long-Term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Clinical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Results</w:t>
            </w:r>
            <w:proofErr w:type="spellEnd"/>
            <w:r w:rsidRPr="0019727E">
              <w:t xml:space="preserve"> Of </w:t>
            </w:r>
            <w:proofErr w:type="spellStart"/>
            <w:r w:rsidRPr="0019727E">
              <w:t>Saphenous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Vein</w:t>
            </w:r>
            <w:proofErr w:type="spellEnd"/>
            <w:r w:rsidRPr="0019727E">
              <w:t xml:space="preserve"> Bypass </w:t>
            </w:r>
            <w:proofErr w:type="spellStart"/>
            <w:r w:rsidRPr="0019727E">
              <w:t>Graft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Lesions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Treated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With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Bare</w:t>
            </w:r>
            <w:proofErr w:type="spellEnd"/>
            <w:r w:rsidRPr="0019727E">
              <w:t xml:space="preserve">-Metal </w:t>
            </w:r>
            <w:proofErr w:type="spellStart"/>
            <w:r w:rsidRPr="0019727E">
              <w:t>Stents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and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Drug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Eluting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Stents</w:t>
            </w:r>
            <w:proofErr w:type="spellEnd"/>
            <w:r w:rsidRPr="0019727E">
              <w:t xml:space="preserve">. International </w:t>
            </w:r>
            <w:proofErr w:type="spellStart"/>
            <w:r w:rsidRPr="0019727E">
              <w:t>Journal</w:t>
            </w:r>
            <w:proofErr w:type="spellEnd"/>
            <w:r w:rsidRPr="0019727E">
              <w:t xml:space="preserve"> of </w:t>
            </w:r>
            <w:proofErr w:type="spellStart"/>
            <w:r w:rsidRPr="0019727E">
              <w:t>Cardivascular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Acadamy</w:t>
            </w:r>
            <w:proofErr w:type="spellEnd"/>
            <w:r w:rsidRPr="0019727E">
              <w:t xml:space="preserve"> 1 (2015) 37-40. </w:t>
            </w:r>
            <w:proofErr w:type="spellStart"/>
            <w:r w:rsidRPr="0019727E">
              <w:t>doi</w:t>
            </w:r>
            <w:proofErr w:type="spellEnd"/>
            <w:r w:rsidRPr="0019727E">
              <w:t>: 10.1016/j.ijcac.2015.10.002</w:t>
            </w: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</w:pP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</w:pPr>
            <w:r w:rsidRPr="0019727E">
              <w:t xml:space="preserve">Abdülmelik Yıldız, Mustafa </w:t>
            </w:r>
            <w:proofErr w:type="spellStart"/>
            <w:r w:rsidRPr="0019727E">
              <w:t>Budancamanak</w:t>
            </w:r>
            <w:proofErr w:type="spellEnd"/>
            <w:r w:rsidRPr="0019727E">
              <w:t xml:space="preserve">, </w:t>
            </w:r>
            <w:r w:rsidRPr="0019727E">
              <w:rPr>
                <w:b/>
              </w:rPr>
              <w:t>Cennet Yıldız</w:t>
            </w:r>
            <w:r w:rsidRPr="0019727E">
              <w:t xml:space="preserve">. </w:t>
            </w:r>
            <w:proofErr w:type="spellStart"/>
            <w:r w:rsidRPr="0019727E">
              <w:t>Brugada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Syndrome</w:t>
            </w:r>
            <w:proofErr w:type="spellEnd"/>
            <w:r w:rsidRPr="0019727E">
              <w:t xml:space="preserve">; </w:t>
            </w:r>
            <w:proofErr w:type="spellStart"/>
            <w:r w:rsidRPr="0019727E">
              <w:t>cause</w:t>
            </w:r>
            <w:proofErr w:type="spellEnd"/>
            <w:r w:rsidRPr="0019727E">
              <w:t xml:space="preserve"> of </w:t>
            </w:r>
            <w:proofErr w:type="spellStart"/>
            <w:r w:rsidRPr="0019727E">
              <w:t>syncope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during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transcutaneous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electrical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nerve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stimulation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therapy</w:t>
            </w:r>
            <w:proofErr w:type="spellEnd"/>
            <w:r w:rsidRPr="0019727E">
              <w:t xml:space="preserve">.  International </w:t>
            </w:r>
            <w:proofErr w:type="spellStart"/>
            <w:r w:rsidRPr="0019727E">
              <w:t>Journal</w:t>
            </w:r>
            <w:proofErr w:type="spellEnd"/>
            <w:r w:rsidRPr="0019727E">
              <w:t xml:space="preserve"> of </w:t>
            </w:r>
            <w:proofErr w:type="spellStart"/>
            <w:r w:rsidRPr="0019727E">
              <w:t>Clinical</w:t>
            </w:r>
            <w:proofErr w:type="spellEnd"/>
            <w:r w:rsidRPr="0019727E">
              <w:t xml:space="preserve"> </w:t>
            </w:r>
            <w:proofErr w:type="spellStart"/>
            <w:r w:rsidRPr="0019727E">
              <w:t>Cardiology</w:t>
            </w:r>
            <w:proofErr w:type="spellEnd"/>
            <w:r w:rsidRPr="0019727E">
              <w:t xml:space="preserve">. 2015:2:8 ISSN:2378-2951 </w:t>
            </w: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</w:pP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</w:pP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9727E">
              <w:rPr>
                <w:color w:val="000000"/>
              </w:rPr>
              <w:t>Abdulmelik</w:t>
            </w:r>
            <w:proofErr w:type="spellEnd"/>
            <w:r w:rsidRPr="0019727E">
              <w:rPr>
                <w:color w:val="000000"/>
              </w:rPr>
              <w:t xml:space="preserve"> Yıldız, </w:t>
            </w:r>
            <w:r w:rsidRPr="0019727E">
              <w:rPr>
                <w:b/>
                <w:color w:val="000000"/>
              </w:rPr>
              <w:t>Cennet Yıldız</w:t>
            </w:r>
            <w:r w:rsidRPr="0019727E">
              <w:rPr>
                <w:color w:val="000000"/>
              </w:rPr>
              <w:t xml:space="preserve">, Vecih Oduncu, Arif Oğuzhan Çimen. A </w:t>
            </w:r>
            <w:proofErr w:type="spellStart"/>
            <w:r w:rsidRPr="0019727E">
              <w:rPr>
                <w:color w:val="000000"/>
              </w:rPr>
              <w:t>comparison</w:t>
            </w:r>
            <w:proofErr w:type="spellEnd"/>
            <w:r w:rsidRPr="0019727E">
              <w:rPr>
                <w:color w:val="000000"/>
              </w:rPr>
              <w:t xml:space="preserve"> of </w:t>
            </w:r>
            <w:proofErr w:type="spellStart"/>
            <w:r w:rsidRPr="0019727E">
              <w:rPr>
                <w:color w:val="000000"/>
              </w:rPr>
              <w:t>drug-eluting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stent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versus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balloon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angioplasty</w:t>
            </w:r>
            <w:proofErr w:type="spellEnd"/>
            <w:r w:rsidRPr="0019727E">
              <w:rPr>
                <w:color w:val="000000"/>
              </w:rPr>
              <w:t xml:space="preserve"> in </w:t>
            </w:r>
            <w:proofErr w:type="spellStart"/>
            <w:r w:rsidRPr="0019727E">
              <w:rPr>
                <w:color w:val="000000"/>
              </w:rPr>
              <w:t>patients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withbare</w:t>
            </w:r>
            <w:proofErr w:type="spellEnd"/>
            <w:r w:rsidRPr="0019727E">
              <w:rPr>
                <w:color w:val="000000"/>
              </w:rPr>
              <w:t xml:space="preserve">-metal </w:t>
            </w:r>
            <w:proofErr w:type="spellStart"/>
            <w:r w:rsidRPr="0019727E">
              <w:rPr>
                <w:color w:val="000000"/>
              </w:rPr>
              <w:t>stent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instent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restenosis</w:t>
            </w:r>
            <w:proofErr w:type="spellEnd"/>
            <w:r w:rsidRPr="0019727E">
              <w:rPr>
                <w:color w:val="000000"/>
              </w:rPr>
              <w:t xml:space="preserve">: 5 </w:t>
            </w:r>
            <w:proofErr w:type="spellStart"/>
            <w:r w:rsidRPr="0019727E">
              <w:rPr>
                <w:color w:val="000000"/>
              </w:rPr>
              <w:t>year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outcomes</w:t>
            </w:r>
            <w:proofErr w:type="spellEnd"/>
            <w:r w:rsidRPr="0019727E">
              <w:rPr>
                <w:color w:val="000000"/>
              </w:rPr>
              <w:t xml:space="preserve">. International </w:t>
            </w:r>
            <w:proofErr w:type="spellStart"/>
            <w:r w:rsidRPr="0019727E">
              <w:rPr>
                <w:color w:val="000000"/>
              </w:rPr>
              <w:t>Journal</w:t>
            </w:r>
            <w:proofErr w:type="spellEnd"/>
            <w:r w:rsidRPr="0019727E">
              <w:rPr>
                <w:color w:val="000000"/>
              </w:rPr>
              <w:t xml:space="preserve"> of </w:t>
            </w:r>
            <w:proofErr w:type="spellStart"/>
            <w:r w:rsidRPr="0019727E">
              <w:rPr>
                <w:color w:val="000000"/>
              </w:rPr>
              <w:t>Cardivascular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Acadamy</w:t>
            </w:r>
            <w:proofErr w:type="spellEnd"/>
            <w:r w:rsidRPr="0019727E">
              <w:rPr>
                <w:color w:val="000000"/>
              </w:rPr>
              <w:t xml:space="preserve">. </w:t>
            </w:r>
            <w:hyperlink r:id="rId6" w:history="1">
              <w:r w:rsidRPr="0019727E">
                <w:rPr>
                  <w:rStyle w:val="Kpr"/>
                </w:rPr>
                <w:t>http://dx.doi.org/10.1016/j.ijcac.2016.02.003</w:t>
              </w:r>
            </w:hyperlink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9727E">
              <w:rPr>
                <w:color w:val="000000"/>
              </w:rPr>
              <w:t xml:space="preserve">Ahmet KARAKURT, </w:t>
            </w:r>
            <w:r w:rsidRPr="0019727E">
              <w:rPr>
                <w:b/>
                <w:color w:val="000000"/>
              </w:rPr>
              <w:t>Cennet YILDIZ,</w:t>
            </w:r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Abdulmelik</w:t>
            </w:r>
            <w:proofErr w:type="spellEnd"/>
            <w:r w:rsidRPr="0019727E">
              <w:rPr>
                <w:color w:val="000000"/>
              </w:rPr>
              <w:t xml:space="preserve"> YILDIZ, Hamit Serdar BAŞBUĞ, </w:t>
            </w:r>
            <w:proofErr w:type="spellStart"/>
            <w:r w:rsidRPr="0019727E">
              <w:rPr>
                <w:color w:val="000000"/>
              </w:rPr>
              <w:t>Assessment</w:t>
            </w:r>
            <w:proofErr w:type="spellEnd"/>
            <w:r w:rsidRPr="0019727E">
              <w:rPr>
                <w:color w:val="000000"/>
              </w:rPr>
              <w:t xml:space="preserve"> of </w:t>
            </w:r>
            <w:proofErr w:type="spellStart"/>
            <w:r w:rsidRPr="0019727E">
              <w:rPr>
                <w:color w:val="000000"/>
              </w:rPr>
              <w:t>relation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between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aortic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elastic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properties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and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the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complexity</w:t>
            </w:r>
            <w:proofErr w:type="spellEnd"/>
            <w:r w:rsidRPr="0019727E">
              <w:rPr>
                <w:color w:val="000000"/>
              </w:rPr>
              <w:t xml:space="preserve"> of </w:t>
            </w:r>
            <w:proofErr w:type="spellStart"/>
            <w:r w:rsidRPr="0019727E">
              <w:rPr>
                <w:color w:val="000000"/>
              </w:rPr>
              <w:t>coronary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 w:rsidRPr="0019727E">
              <w:rPr>
                <w:color w:val="000000"/>
              </w:rPr>
              <w:t>artery</w:t>
            </w:r>
            <w:proofErr w:type="spellEnd"/>
            <w:r w:rsidRPr="0019727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disease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Acta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Cardiol</w:t>
            </w:r>
            <w:proofErr w:type="spellEnd"/>
            <w:r>
              <w:rPr>
                <w:color w:val="000000"/>
              </w:rPr>
              <w:t xml:space="preserve"> 2016; 71(3): 267-273 doi:10.2143/AC.71.3.3152086</w:t>
            </w:r>
          </w:p>
          <w:p w:rsidR="00763F80" w:rsidRPr="0019727E" w:rsidRDefault="00763F80" w:rsidP="000113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63F80" w:rsidRPr="007F6AF1" w:rsidRDefault="00763F80" w:rsidP="00011309">
            <w:pPr>
              <w:autoSpaceDE w:val="0"/>
              <w:autoSpaceDN w:val="0"/>
              <w:adjustRightInd w:val="0"/>
            </w:pPr>
            <w:proofErr w:type="spellStart"/>
            <w:r w:rsidRPr="007F6AF1">
              <w:t>Abdulmelik</w:t>
            </w:r>
            <w:proofErr w:type="spellEnd"/>
            <w:r w:rsidRPr="007F6AF1">
              <w:t xml:space="preserve"> Yıldız, Özlem </w:t>
            </w:r>
            <w:proofErr w:type="gramStart"/>
            <w:r w:rsidRPr="007F6AF1">
              <w:t xml:space="preserve">Seçen , </w:t>
            </w:r>
            <w:r w:rsidRPr="007F6AF1">
              <w:rPr>
                <w:b/>
              </w:rPr>
              <w:t>Cennet</w:t>
            </w:r>
            <w:proofErr w:type="gramEnd"/>
            <w:r w:rsidRPr="007F6AF1">
              <w:rPr>
                <w:b/>
              </w:rPr>
              <w:t xml:space="preserve"> Yıldız</w:t>
            </w:r>
            <w:r w:rsidRPr="007F6AF1">
              <w:t xml:space="preserve">, Mehtap Çiçekçi. </w:t>
            </w:r>
            <w:proofErr w:type="spellStart"/>
            <w:r w:rsidRPr="007F6AF1">
              <w:t>Relationship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between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breast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arterial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calcification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and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lipid</w:t>
            </w:r>
            <w:proofErr w:type="spellEnd"/>
            <w:r w:rsidRPr="007F6AF1">
              <w:t xml:space="preserve"> </w:t>
            </w:r>
            <w:proofErr w:type="gramStart"/>
            <w:r w:rsidRPr="007F6AF1">
              <w:t>profile</w:t>
            </w:r>
            <w:proofErr w:type="gramEnd"/>
            <w:r w:rsidRPr="007F6AF1">
              <w:t xml:space="preserve">, </w:t>
            </w:r>
            <w:proofErr w:type="spellStart"/>
            <w:r w:rsidRPr="007F6AF1">
              <w:t>plasma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atherogenic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index</w:t>
            </w:r>
            <w:proofErr w:type="spellEnd"/>
            <w:r w:rsidRPr="007F6AF1">
              <w:t xml:space="preserve">, </w:t>
            </w:r>
            <w:proofErr w:type="spellStart"/>
            <w:r w:rsidRPr="007F6AF1">
              <w:t>Castelli's</w:t>
            </w:r>
            <w:proofErr w:type="spellEnd"/>
            <w:r w:rsidRPr="007F6AF1">
              <w:t xml:space="preserve"> risk </w:t>
            </w:r>
            <w:proofErr w:type="spellStart"/>
            <w:r w:rsidRPr="007F6AF1">
              <w:t>index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and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atherogenic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coefficient</w:t>
            </w:r>
            <w:proofErr w:type="spellEnd"/>
            <w:r w:rsidRPr="007F6AF1">
              <w:t xml:space="preserve"> in </w:t>
            </w:r>
            <w:proofErr w:type="spellStart"/>
            <w:r w:rsidRPr="007F6AF1">
              <w:t>premenopausal</w:t>
            </w:r>
            <w:proofErr w:type="spellEnd"/>
            <w:r w:rsidRPr="007F6AF1">
              <w:t xml:space="preserve"> </w:t>
            </w:r>
            <w:proofErr w:type="spellStart"/>
            <w:r w:rsidRPr="007F6AF1">
              <w:t>women</w:t>
            </w:r>
            <w:proofErr w:type="spellEnd"/>
            <w:r w:rsidRPr="007F6AF1">
              <w:t xml:space="preserve">. IJC </w:t>
            </w:r>
            <w:proofErr w:type="spellStart"/>
            <w:r w:rsidRPr="007F6AF1">
              <w:t>Metabolic</w:t>
            </w:r>
            <w:proofErr w:type="spellEnd"/>
            <w:r w:rsidRPr="007F6AF1">
              <w:t xml:space="preserve"> &amp; </w:t>
            </w:r>
            <w:proofErr w:type="spellStart"/>
            <w:r w:rsidRPr="007F6AF1">
              <w:t>Endocrine</w:t>
            </w:r>
            <w:proofErr w:type="spellEnd"/>
            <w:r w:rsidRPr="007F6AF1">
              <w:t xml:space="preserve"> 11 (2016) 19–22. </w:t>
            </w:r>
            <w:r w:rsidRPr="007F6AF1">
              <w:rPr>
                <w:color w:val="0000FF"/>
              </w:rPr>
              <w:t>http://dx.doi.org/10.1016/j.ijcme.2016.05.003</w:t>
            </w:r>
          </w:p>
          <w:p w:rsidR="00763F80" w:rsidRDefault="00763F80" w:rsidP="00011309">
            <w:pPr>
              <w:autoSpaceDE w:val="0"/>
              <w:autoSpaceDN w:val="0"/>
              <w:adjustRightInd w:val="0"/>
              <w:jc w:val="both"/>
            </w:pPr>
          </w:p>
          <w:p w:rsidR="00763F80" w:rsidRDefault="00763F80" w:rsidP="00011309">
            <w:pPr>
              <w:autoSpaceDE w:val="0"/>
              <w:autoSpaceDN w:val="0"/>
              <w:adjustRightInd w:val="0"/>
            </w:pPr>
            <w:r w:rsidRPr="00D920E7">
              <w:t>Abdülmelik Yıldı</w:t>
            </w:r>
            <w:r>
              <w:t>z</w:t>
            </w:r>
            <w:r w:rsidRPr="00D920E7">
              <w:t xml:space="preserve">, </w:t>
            </w:r>
            <w:r w:rsidRPr="00D920E7">
              <w:rPr>
                <w:b/>
              </w:rPr>
              <w:t>Cennet Yıldız</w:t>
            </w:r>
            <w:r w:rsidRPr="00D920E7">
              <w:t>, Bayram Bağı</w:t>
            </w:r>
            <w:r>
              <w:t xml:space="preserve">rtan, Ahmet </w:t>
            </w:r>
            <w:proofErr w:type="spellStart"/>
            <w:r>
              <w:t>Karakurt</w:t>
            </w:r>
            <w:proofErr w:type="spellEnd"/>
            <w:r>
              <w:t xml:space="preserve">. </w:t>
            </w:r>
            <w:proofErr w:type="spellStart"/>
            <w:r w:rsidRPr="00D920E7">
              <w:t>Prognostic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value</w:t>
            </w:r>
            <w:proofErr w:type="spellEnd"/>
            <w:r w:rsidRPr="00D920E7">
              <w:t xml:space="preserve"> of </w:t>
            </w:r>
            <w:proofErr w:type="spellStart"/>
            <w:r w:rsidRPr="00D920E7">
              <w:t>anatomical</w:t>
            </w:r>
            <w:proofErr w:type="spellEnd"/>
            <w:r w:rsidRPr="00D920E7">
              <w:t xml:space="preserve"> SYNTAX </w:t>
            </w:r>
            <w:proofErr w:type="spellStart"/>
            <w:r w:rsidRPr="00D920E7">
              <w:t>score</w:t>
            </w:r>
            <w:proofErr w:type="spellEnd"/>
            <w:r w:rsidRPr="00D920E7">
              <w:t xml:space="preserve"> in </w:t>
            </w:r>
            <w:proofErr w:type="spellStart"/>
            <w:r w:rsidRPr="00D920E7">
              <w:t>patients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with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acute</w:t>
            </w:r>
            <w:proofErr w:type="spellEnd"/>
            <w:r w:rsidRPr="00D920E7">
              <w:t xml:space="preserve"> ST</w:t>
            </w:r>
            <w:r>
              <w:t xml:space="preserve"> </w:t>
            </w:r>
            <w:proofErr w:type="spellStart"/>
            <w:r w:rsidRPr="00D920E7">
              <w:t>elevation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myocardial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infarction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undergoing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percutaneous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coronary</w:t>
            </w:r>
            <w:proofErr w:type="spellEnd"/>
            <w:r>
              <w:t xml:space="preserve"> </w:t>
            </w:r>
            <w:proofErr w:type="spellStart"/>
            <w:r w:rsidRPr="00D920E7">
              <w:t>intervention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for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unprotected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left</w:t>
            </w:r>
            <w:proofErr w:type="spellEnd"/>
            <w:r w:rsidRPr="00D920E7">
              <w:t xml:space="preserve"> main </w:t>
            </w:r>
            <w:proofErr w:type="spellStart"/>
            <w:r w:rsidRPr="00D920E7">
              <w:t>coronary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artery</w:t>
            </w:r>
            <w:proofErr w:type="spellEnd"/>
            <w:r w:rsidRPr="00D920E7">
              <w:t xml:space="preserve">. International </w:t>
            </w:r>
            <w:proofErr w:type="spellStart"/>
            <w:r w:rsidRPr="00D920E7">
              <w:t>Journal</w:t>
            </w:r>
            <w:proofErr w:type="spellEnd"/>
            <w:r w:rsidRPr="00D920E7">
              <w:t xml:space="preserve"> of </w:t>
            </w:r>
            <w:proofErr w:type="spellStart"/>
            <w:r w:rsidRPr="00D920E7">
              <w:t>the</w:t>
            </w:r>
            <w:proofErr w:type="spellEnd"/>
            <w:r w:rsidRPr="00D920E7">
              <w:t xml:space="preserve"> </w:t>
            </w:r>
            <w:proofErr w:type="spellStart"/>
            <w:r w:rsidRPr="00D920E7">
              <w:t>Cardiovascular</w:t>
            </w:r>
            <w:proofErr w:type="spellEnd"/>
            <w:r w:rsidRPr="00D920E7">
              <w:t xml:space="preserve"> Academy 2 (2016) 98–102. </w:t>
            </w:r>
            <w:hyperlink r:id="rId7" w:history="1">
              <w:r w:rsidRPr="00FA5457">
                <w:rPr>
                  <w:rStyle w:val="Kpr"/>
                </w:rPr>
                <w:t>http://dx.doi.org/10.1016/j.ijcac.2016.05.002</w:t>
              </w:r>
            </w:hyperlink>
          </w:p>
          <w:p w:rsidR="00763F80" w:rsidRDefault="00763F80" w:rsidP="00011309">
            <w:pPr>
              <w:autoSpaceDE w:val="0"/>
              <w:autoSpaceDN w:val="0"/>
              <w:adjustRightInd w:val="0"/>
            </w:pPr>
          </w:p>
          <w:p w:rsidR="00763F80" w:rsidRPr="00BB7E75" w:rsidRDefault="00763F80" w:rsidP="000113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763F80" w:rsidRPr="007F6AF1" w:rsidRDefault="00763F80" w:rsidP="00011309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</w:p>
        </w:tc>
      </w:tr>
      <w:tr w:rsidR="00763F80" w:rsidRPr="00C7486C" w:rsidTr="003177EB">
        <w:trPr>
          <w:trHeight w:val="9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5C2634" w:rsidRDefault="00763F80" w:rsidP="00011309">
            <w:pPr>
              <w:jc w:val="both"/>
              <w:rPr>
                <w:b/>
                <w:bCs/>
              </w:rPr>
            </w:pPr>
            <w:r w:rsidRPr="005C2634">
              <w:rPr>
                <w:b/>
                <w:bCs/>
              </w:rPr>
              <w:lastRenderedPageBreak/>
              <w:t>7.2. Uluslararası bilimsel toplantılarda sunulan ve bildiri kitabında (</w:t>
            </w:r>
            <w:proofErr w:type="spellStart"/>
            <w:r w:rsidRPr="005C2634">
              <w:rPr>
                <w:b/>
                <w:bCs/>
              </w:rPr>
              <w:t>Proceeding</w:t>
            </w:r>
            <w:proofErr w:type="spellEnd"/>
            <w:r w:rsidRPr="005C2634">
              <w:rPr>
                <w:b/>
                <w:bCs/>
              </w:rPr>
              <w:t>) basılan bildiriler.</w:t>
            </w:r>
          </w:p>
          <w:p w:rsidR="00763F80" w:rsidRPr="005C2634" w:rsidRDefault="00763F80" w:rsidP="00011309">
            <w:pPr>
              <w:pStyle w:val="NormalWeb"/>
              <w:spacing w:line="272" w:lineRule="atLeast"/>
              <w:jc w:val="both"/>
            </w:pPr>
            <w:r w:rsidRPr="005C2634">
              <w:rPr>
                <w:color w:val="000000"/>
              </w:rPr>
              <w:t xml:space="preserve">H. Akdur, G. Polat, Z. </w:t>
            </w:r>
            <w:proofErr w:type="gramStart"/>
            <w:r w:rsidRPr="005C2634">
              <w:rPr>
                <w:color w:val="000000"/>
              </w:rPr>
              <w:t xml:space="preserve">Yiğit , </w:t>
            </w:r>
            <w:r w:rsidRPr="005C2634">
              <w:rPr>
                <w:b/>
                <w:bCs/>
                <w:color w:val="000000"/>
              </w:rPr>
              <w:t>C</w:t>
            </w:r>
            <w:proofErr w:type="gramEnd"/>
            <w:r w:rsidRPr="005C2634">
              <w:rPr>
                <w:b/>
                <w:bCs/>
                <w:color w:val="000000"/>
              </w:rPr>
              <w:t>. Erbaş,</w:t>
            </w:r>
            <w:r w:rsidRPr="005C2634">
              <w:rPr>
                <w:color w:val="000000"/>
              </w:rPr>
              <w:t xml:space="preserve"> Ö. </w:t>
            </w:r>
            <w:proofErr w:type="spellStart"/>
            <w:r w:rsidRPr="005C2634">
              <w:rPr>
                <w:color w:val="000000"/>
              </w:rPr>
              <w:t>Batukan</w:t>
            </w:r>
            <w:proofErr w:type="spellEnd"/>
            <w:r w:rsidRPr="005C2634">
              <w:rPr>
                <w:color w:val="000000"/>
              </w:rPr>
              <w:t xml:space="preserve">, M. </w:t>
            </w:r>
            <w:proofErr w:type="spellStart"/>
            <w:r w:rsidRPr="005C2634">
              <w:rPr>
                <w:color w:val="000000"/>
              </w:rPr>
              <w:t>Ersanlı</w:t>
            </w:r>
            <w:proofErr w:type="spellEnd"/>
            <w:r w:rsidRPr="005C2634">
              <w:rPr>
                <w:color w:val="000000"/>
              </w:rPr>
              <w:t xml:space="preserve">, V. </w:t>
            </w:r>
            <w:proofErr w:type="spellStart"/>
            <w:r w:rsidRPr="005C2634">
              <w:rPr>
                <w:color w:val="000000"/>
              </w:rPr>
              <w:t>Sansoy</w:t>
            </w:r>
            <w:proofErr w:type="spellEnd"/>
            <w:r w:rsidRPr="005C2634">
              <w:rPr>
                <w:color w:val="000000"/>
              </w:rPr>
              <w:t xml:space="preserve">, F . Öztunç, D. Güzelsoy. Ö. Güven. </w:t>
            </w:r>
            <w:proofErr w:type="spellStart"/>
            <w:r w:rsidRPr="005C2634">
              <w:rPr>
                <w:color w:val="000000"/>
              </w:rPr>
              <w:t>Comparison</w:t>
            </w:r>
            <w:proofErr w:type="spellEnd"/>
            <w:r w:rsidRPr="005C2634">
              <w:rPr>
                <w:color w:val="000000"/>
              </w:rPr>
              <w:t xml:space="preserve"> of </w:t>
            </w:r>
            <w:proofErr w:type="spellStart"/>
            <w:r w:rsidRPr="005C2634">
              <w:rPr>
                <w:color w:val="000000"/>
              </w:rPr>
              <w:t>Cardiovascular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Response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to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Exercise</w:t>
            </w:r>
            <w:proofErr w:type="spellEnd"/>
            <w:r w:rsidRPr="005C2634">
              <w:rPr>
                <w:color w:val="000000"/>
              </w:rPr>
              <w:t xml:space="preserve"> of </w:t>
            </w:r>
            <w:proofErr w:type="spellStart"/>
            <w:r w:rsidRPr="005C2634">
              <w:rPr>
                <w:color w:val="000000"/>
              </w:rPr>
              <w:t>Healty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Children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According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toı</w:t>
            </w:r>
            <w:proofErr w:type="spellEnd"/>
            <w:r w:rsidRPr="005C2634">
              <w:rPr>
                <w:color w:val="000000"/>
              </w:rPr>
              <w:t xml:space="preserve"> Age </w:t>
            </w:r>
            <w:proofErr w:type="spellStart"/>
            <w:r w:rsidRPr="005C2634">
              <w:rPr>
                <w:color w:val="000000"/>
              </w:rPr>
              <w:t>and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Gender</w:t>
            </w:r>
            <w:proofErr w:type="spellEnd"/>
            <w:r w:rsidRPr="005C2634">
              <w:rPr>
                <w:color w:val="000000"/>
              </w:rPr>
              <w:t xml:space="preserve">. 3rd. </w:t>
            </w:r>
            <w:proofErr w:type="spellStart"/>
            <w:r w:rsidRPr="005C2634">
              <w:rPr>
                <w:color w:val="000000"/>
              </w:rPr>
              <w:t>İnternational</w:t>
            </w:r>
            <w:proofErr w:type="spellEnd"/>
            <w:r w:rsidRPr="005C2634">
              <w:rPr>
                <w:color w:val="000000"/>
              </w:rPr>
              <w:t xml:space="preserve">. </w:t>
            </w:r>
            <w:proofErr w:type="spellStart"/>
            <w:r w:rsidRPr="005C2634">
              <w:rPr>
                <w:color w:val="000000"/>
              </w:rPr>
              <w:t>İnternational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Physical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Therapy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and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Rehabilitation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Congres</w:t>
            </w:r>
            <w:proofErr w:type="spellEnd"/>
            <w:r w:rsidRPr="005C2634">
              <w:rPr>
                <w:color w:val="000000"/>
              </w:rPr>
              <w:t xml:space="preserve">, </w:t>
            </w:r>
            <w:proofErr w:type="spellStart"/>
            <w:r w:rsidRPr="005C2634">
              <w:rPr>
                <w:color w:val="000000"/>
              </w:rPr>
              <w:t>September</w:t>
            </w:r>
            <w:proofErr w:type="spellEnd"/>
            <w:r w:rsidRPr="005C2634">
              <w:rPr>
                <w:color w:val="000000"/>
              </w:rPr>
              <w:t xml:space="preserve"> 21-24 2000. P:58 İzmir. </w:t>
            </w:r>
            <w:proofErr w:type="spellStart"/>
            <w:r w:rsidRPr="005C2634">
              <w:rPr>
                <w:color w:val="000000"/>
              </w:rPr>
              <w:t>Turkey</w:t>
            </w:r>
            <w:proofErr w:type="spellEnd"/>
            <w:r w:rsidRPr="005C2634">
              <w:rPr>
                <w:color w:val="000000"/>
              </w:rPr>
              <w:t>.</w:t>
            </w:r>
            <w:r w:rsidRPr="005C2634">
              <w:t xml:space="preserve"> </w:t>
            </w:r>
          </w:p>
          <w:p w:rsidR="00763F80" w:rsidRPr="005C2634" w:rsidRDefault="00763F80" w:rsidP="00011309">
            <w:pPr>
              <w:pStyle w:val="NormalWeb"/>
              <w:spacing w:line="272" w:lineRule="atLeast"/>
              <w:jc w:val="both"/>
            </w:pPr>
            <w:r w:rsidRPr="005C2634">
              <w:rPr>
                <w:color w:val="000000"/>
              </w:rPr>
              <w:t xml:space="preserve">H. Mutlu, E. Okuyan, H. Özhan, Z. Yiğit, </w:t>
            </w:r>
            <w:r w:rsidRPr="005C2634">
              <w:rPr>
                <w:b/>
                <w:bCs/>
                <w:color w:val="000000"/>
              </w:rPr>
              <w:t xml:space="preserve">C. Erbaş, </w:t>
            </w:r>
            <w:r w:rsidRPr="005C2634">
              <w:rPr>
                <w:color w:val="000000"/>
              </w:rPr>
              <w:t xml:space="preserve">S. Küçükoğlu, N. Gültekin, </w:t>
            </w:r>
            <w:proofErr w:type="spellStart"/>
            <w:r w:rsidRPr="005C2634">
              <w:rPr>
                <w:color w:val="000000"/>
              </w:rPr>
              <w:t>S.Üner</w:t>
            </w:r>
            <w:proofErr w:type="spellEnd"/>
            <w:r w:rsidRPr="005C2634">
              <w:rPr>
                <w:color w:val="000000"/>
              </w:rPr>
              <w:t xml:space="preserve">. </w:t>
            </w:r>
            <w:proofErr w:type="spellStart"/>
            <w:r w:rsidRPr="005C2634">
              <w:rPr>
                <w:color w:val="000000"/>
              </w:rPr>
              <w:t>The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efficacy</w:t>
            </w:r>
            <w:proofErr w:type="spellEnd"/>
            <w:r w:rsidRPr="005C2634">
              <w:rPr>
                <w:color w:val="000000"/>
              </w:rPr>
              <w:t xml:space="preserve"> of </w:t>
            </w:r>
            <w:proofErr w:type="spellStart"/>
            <w:r w:rsidRPr="005C2634">
              <w:rPr>
                <w:color w:val="000000"/>
              </w:rPr>
              <w:t>valsartan</w:t>
            </w:r>
            <w:proofErr w:type="spellEnd"/>
            <w:r w:rsidRPr="005C2634">
              <w:rPr>
                <w:color w:val="000000"/>
              </w:rPr>
              <w:t xml:space="preserve"> in </w:t>
            </w:r>
            <w:proofErr w:type="spellStart"/>
            <w:r w:rsidRPr="005C2634">
              <w:rPr>
                <w:color w:val="000000"/>
              </w:rPr>
              <w:t>the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treatment</w:t>
            </w:r>
            <w:proofErr w:type="spellEnd"/>
            <w:r w:rsidRPr="005C2634">
              <w:rPr>
                <w:color w:val="000000"/>
              </w:rPr>
              <w:t xml:space="preserve"> of </w:t>
            </w:r>
            <w:proofErr w:type="spellStart"/>
            <w:r w:rsidRPr="005C2634">
              <w:rPr>
                <w:color w:val="000000"/>
              </w:rPr>
              <w:t>essential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hypertension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and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its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effects</w:t>
            </w:r>
            <w:proofErr w:type="spellEnd"/>
            <w:r w:rsidRPr="005C2634">
              <w:rPr>
                <w:color w:val="000000"/>
              </w:rPr>
              <w:t xml:space="preserve"> on </w:t>
            </w:r>
            <w:proofErr w:type="spellStart"/>
            <w:r w:rsidRPr="005C2634">
              <w:rPr>
                <w:color w:val="000000"/>
              </w:rPr>
              <w:t>biochemical</w:t>
            </w:r>
            <w:proofErr w:type="spellEnd"/>
            <w:r w:rsidRPr="005C2634">
              <w:rPr>
                <w:color w:val="000000"/>
              </w:rPr>
              <w:t xml:space="preserve"> anda </w:t>
            </w:r>
            <w:proofErr w:type="spellStart"/>
            <w:r w:rsidRPr="005C2634">
              <w:rPr>
                <w:color w:val="000000"/>
              </w:rPr>
              <w:lastRenderedPageBreak/>
              <w:t>echocardiographic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parameters</w:t>
            </w:r>
            <w:proofErr w:type="spellEnd"/>
            <w:r w:rsidRPr="005C2634">
              <w:rPr>
                <w:color w:val="000000"/>
              </w:rPr>
              <w:t xml:space="preserve">. </w:t>
            </w:r>
            <w:proofErr w:type="spellStart"/>
            <w:r w:rsidRPr="005C2634">
              <w:rPr>
                <w:color w:val="000000"/>
              </w:rPr>
              <w:t>Turkish</w:t>
            </w:r>
            <w:proofErr w:type="spellEnd"/>
            <w:r w:rsidRPr="005C2634">
              <w:rPr>
                <w:color w:val="000000"/>
              </w:rPr>
              <w:t xml:space="preserve"> -</w:t>
            </w:r>
            <w:proofErr w:type="spellStart"/>
            <w:r w:rsidRPr="005C2634">
              <w:rPr>
                <w:color w:val="000000"/>
              </w:rPr>
              <w:t>Italian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Joint</w:t>
            </w:r>
            <w:proofErr w:type="spellEnd"/>
            <w:r w:rsidRPr="005C2634">
              <w:rPr>
                <w:color w:val="000000"/>
              </w:rPr>
              <w:t xml:space="preserve"> Meeting on </w:t>
            </w:r>
            <w:proofErr w:type="spellStart"/>
            <w:r w:rsidRPr="005C2634">
              <w:rPr>
                <w:color w:val="000000"/>
              </w:rPr>
              <w:t>Hypertension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and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Atherosclerosis</w:t>
            </w:r>
            <w:proofErr w:type="spellEnd"/>
            <w:r w:rsidRPr="005C2634">
              <w:rPr>
                <w:color w:val="000000"/>
              </w:rPr>
              <w:t xml:space="preserve">. 30 </w:t>
            </w:r>
            <w:proofErr w:type="spellStart"/>
            <w:r w:rsidRPr="005C2634">
              <w:rPr>
                <w:color w:val="000000"/>
              </w:rPr>
              <w:t>March</w:t>
            </w:r>
            <w:proofErr w:type="spellEnd"/>
            <w:r w:rsidRPr="005C2634">
              <w:rPr>
                <w:color w:val="000000"/>
              </w:rPr>
              <w:t xml:space="preserve"> – 02 April 2000 P: 142 Antalya, </w:t>
            </w:r>
            <w:proofErr w:type="spellStart"/>
            <w:r w:rsidRPr="005C2634">
              <w:rPr>
                <w:color w:val="000000"/>
              </w:rPr>
              <w:t>Turkey</w:t>
            </w:r>
            <w:proofErr w:type="spellEnd"/>
            <w:r w:rsidRPr="005C2634">
              <w:rPr>
                <w:color w:val="000000"/>
              </w:rPr>
              <w:t xml:space="preserve">. </w:t>
            </w:r>
          </w:p>
          <w:p w:rsidR="00763F80" w:rsidRPr="005C2634" w:rsidRDefault="00763F80" w:rsidP="00011309">
            <w:pPr>
              <w:pStyle w:val="NormalWeb"/>
              <w:spacing w:line="272" w:lineRule="atLeast"/>
              <w:jc w:val="both"/>
            </w:pPr>
            <w:r w:rsidRPr="005C2634">
              <w:rPr>
                <w:b/>
                <w:bCs/>
                <w:color w:val="000000"/>
              </w:rPr>
              <w:t xml:space="preserve">C </w:t>
            </w:r>
            <w:proofErr w:type="spellStart"/>
            <w:r w:rsidRPr="005C2634">
              <w:rPr>
                <w:b/>
                <w:bCs/>
                <w:color w:val="000000"/>
              </w:rPr>
              <w:t>Yildiz</w:t>
            </w:r>
            <w:proofErr w:type="spellEnd"/>
            <w:r w:rsidRPr="005C2634">
              <w:rPr>
                <w:color w:val="000000"/>
              </w:rPr>
              <w:t xml:space="preserve">, A </w:t>
            </w:r>
            <w:proofErr w:type="spellStart"/>
            <w:r w:rsidRPr="005C2634">
              <w:rPr>
                <w:color w:val="000000"/>
              </w:rPr>
              <w:t>Yildiz</w:t>
            </w:r>
            <w:proofErr w:type="spellEnd"/>
            <w:r w:rsidRPr="005C2634">
              <w:rPr>
                <w:color w:val="000000"/>
              </w:rPr>
              <w:t xml:space="preserve">, Y </w:t>
            </w:r>
            <w:proofErr w:type="spellStart"/>
            <w:r w:rsidRPr="005C2634">
              <w:rPr>
                <w:color w:val="000000"/>
              </w:rPr>
              <w:t>Gunes</w:t>
            </w:r>
            <w:proofErr w:type="spellEnd"/>
            <w:r w:rsidRPr="005C2634">
              <w:rPr>
                <w:color w:val="000000"/>
              </w:rPr>
              <w:t xml:space="preserve">. </w:t>
            </w:r>
            <w:proofErr w:type="spellStart"/>
            <w:r w:rsidRPr="005C2634">
              <w:rPr>
                <w:color w:val="000000"/>
              </w:rPr>
              <w:t>Red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blood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cell</w:t>
            </w:r>
            <w:proofErr w:type="spellEnd"/>
            <w:r w:rsidRPr="005C2634">
              <w:rPr>
                <w:color w:val="000000"/>
              </w:rPr>
              <w:t xml:space="preserve"> </w:t>
            </w:r>
            <w:proofErr w:type="spellStart"/>
            <w:r w:rsidRPr="005C2634">
              <w:rPr>
                <w:color w:val="000000"/>
              </w:rPr>
              <w:t>d</w:t>
            </w:r>
            <w:r w:rsidRPr="005C2634">
              <w:t>istribution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width</w:t>
            </w:r>
            <w:proofErr w:type="spellEnd"/>
            <w:r w:rsidRPr="005C2634">
              <w:t xml:space="preserve">, </w:t>
            </w:r>
            <w:proofErr w:type="spellStart"/>
            <w:r w:rsidRPr="005C2634">
              <w:t>mean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platelet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volume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neutropil</w:t>
            </w:r>
            <w:proofErr w:type="spellEnd"/>
            <w:r w:rsidRPr="005C2634">
              <w:t>/</w:t>
            </w:r>
            <w:proofErr w:type="spellStart"/>
            <w:r w:rsidRPr="005C2634">
              <w:t>lymphocyte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ratio</w:t>
            </w:r>
            <w:proofErr w:type="spellEnd"/>
            <w:r w:rsidRPr="005C2634">
              <w:t xml:space="preserve"> in '</w:t>
            </w:r>
            <w:proofErr w:type="spellStart"/>
            <w:r w:rsidRPr="005C2634">
              <w:t>non-dippers</w:t>
            </w:r>
            <w:proofErr w:type="spellEnd"/>
            <w:r w:rsidRPr="005C2634">
              <w:t xml:space="preserve">' </w:t>
            </w:r>
            <w:proofErr w:type="spellStart"/>
            <w:r w:rsidRPr="005C2634">
              <w:t>versus</w:t>
            </w:r>
            <w:proofErr w:type="spellEnd"/>
            <w:r w:rsidRPr="005C2634">
              <w:t xml:space="preserve"> '</w:t>
            </w:r>
            <w:proofErr w:type="spellStart"/>
            <w:r w:rsidRPr="005C2634">
              <w:t>dippers</w:t>
            </w:r>
            <w:proofErr w:type="spellEnd"/>
            <w:r w:rsidRPr="005C2634">
              <w:t xml:space="preserve">. </w:t>
            </w:r>
            <w:proofErr w:type="spellStart"/>
            <w:r w:rsidRPr="005C2634">
              <w:t>Joint</w:t>
            </w:r>
            <w:proofErr w:type="spellEnd"/>
            <w:r w:rsidRPr="005C2634">
              <w:t xml:space="preserve"> Meeting of </w:t>
            </w:r>
            <w:proofErr w:type="spellStart"/>
            <w:r w:rsidRPr="005C2634">
              <w:t>the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European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Society</w:t>
            </w:r>
            <w:proofErr w:type="spellEnd"/>
            <w:r w:rsidRPr="005C2634">
              <w:t xml:space="preserve"> of </w:t>
            </w:r>
            <w:proofErr w:type="spellStart"/>
            <w:r w:rsidRPr="005C2634">
              <w:t>Hypertension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International </w:t>
            </w:r>
            <w:proofErr w:type="spellStart"/>
            <w:r w:rsidRPr="005C2634">
              <w:t>Society</w:t>
            </w:r>
            <w:proofErr w:type="spellEnd"/>
            <w:r w:rsidRPr="005C2634">
              <w:t xml:space="preserve"> of </w:t>
            </w:r>
            <w:proofErr w:type="spellStart"/>
            <w:proofErr w:type="gramStart"/>
            <w:r w:rsidRPr="005C2634">
              <w:t>Hypertension</w:t>
            </w:r>
            <w:proofErr w:type="spellEnd"/>
            <w:r w:rsidRPr="005C2634">
              <w:t xml:space="preserve"> .</w:t>
            </w:r>
            <w:proofErr w:type="gramEnd"/>
            <w:r w:rsidRPr="005C2634">
              <w:t xml:space="preserve"> </w:t>
            </w:r>
            <w:proofErr w:type="spellStart"/>
            <w:r w:rsidRPr="005C2634">
              <w:t>June</w:t>
            </w:r>
            <w:proofErr w:type="spellEnd"/>
            <w:r w:rsidRPr="005C2634">
              <w:t xml:space="preserve"> 13 -16, 2014 p: e124 </w:t>
            </w:r>
            <w:proofErr w:type="spellStart"/>
            <w:r w:rsidRPr="005C2634">
              <w:t>Athens</w:t>
            </w:r>
            <w:proofErr w:type="spellEnd"/>
            <w:r w:rsidRPr="005C2634">
              <w:t xml:space="preserve">, </w:t>
            </w:r>
            <w:proofErr w:type="spellStart"/>
            <w:r w:rsidRPr="005C2634">
              <w:t>Greece</w:t>
            </w:r>
            <w:proofErr w:type="spellEnd"/>
            <w:r w:rsidRPr="005C2634">
              <w:t xml:space="preserve">. </w:t>
            </w:r>
          </w:p>
          <w:p w:rsidR="00763F80" w:rsidRPr="005C2634" w:rsidRDefault="00763F80" w:rsidP="00011309">
            <w:pPr>
              <w:pStyle w:val="NormalWeb"/>
              <w:spacing w:line="272" w:lineRule="atLeast"/>
              <w:jc w:val="both"/>
            </w:pPr>
            <w:r w:rsidRPr="005C2634">
              <w:rPr>
                <w:b/>
                <w:bCs/>
              </w:rPr>
              <w:t xml:space="preserve">C </w:t>
            </w:r>
            <w:proofErr w:type="spellStart"/>
            <w:r w:rsidRPr="005C2634">
              <w:rPr>
                <w:b/>
                <w:bCs/>
              </w:rPr>
              <w:t>Yildiz</w:t>
            </w:r>
            <w:proofErr w:type="spellEnd"/>
            <w:r w:rsidRPr="005C2634">
              <w:t xml:space="preserve">, A </w:t>
            </w:r>
            <w:proofErr w:type="spellStart"/>
            <w:r w:rsidRPr="005C2634">
              <w:t>Yildiz</w:t>
            </w:r>
            <w:proofErr w:type="spellEnd"/>
            <w:r w:rsidRPr="005C2634">
              <w:t xml:space="preserve">, F Tekiner, Y </w:t>
            </w:r>
            <w:proofErr w:type="spellStart"/>
            <w:r w:rsidRPr="005C2634">
              <w:t>Gunes</w:t>
            </w:r>
            <w:proofErr w:type="spellEnd"/>
            <w:r w:rsidRPr="005C2634">
              <w:t xml:space="preserve">. </w:t>
            </w:r>
            <w:proofErr w:type="spellStart"/>
            <w:r w:rsidRPr="005C2634">
              <w:t>Cardiac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autonomic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impairement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chronotropic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incompetence</w:t>
            </w:r>
            <w:proofErr w:type="spellEnd"/>
            <w:r w:rsidRPr="005C2634">
              <w:t xml:space="preserve"> in </w:t>
            </w:r>
            <w:proofErr w:type="spellStart"/>
            <w:r w:rsidRPr="005C2634">
              <w:t>dipper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nondipper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hypertension</w:t>
            </w:r>
            <w:proofErr w:type="spellEnd"/>
            <w:r w:rsidRPr="005C2634">
              <w:t xml:space="preserve">. </w:t>
            </w:r>
            <w:proofErr w:type="spellStart"/>
            <w:r w:rsidRPr="005C2634">
              <w:t>Joint</w:t>
            </w:r>
            <w:proofErr w:type="spellEnd"/>
            <w:r w:rsidRPr="005C2634">
              <w:t xml:space="preserve"> Meeting of </w:t>
            </w:r>
            <w:proofErr w:type="spellStart"/>
            <w:r w:rsidRPr="005C2634">
              <w:t>the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European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Society</w:t>
            </w:r>
            <w:proofErr w:type="spellEnd"/>
            <w:r w:rsidRPr="005C2634">
              <w:t xml:space="preserve"> of </w:t>
            </w:r>
            <w:proofErr w:type="spellStart"/>
            <w:r w:rsidRPr="005C2634">
              <w:t>Hypertension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International </w:t>
            </w:r>
            <w:proofErr w:type="spellStart"/>
            <w:r w:rsidRPr="005C2634">
              <w:t>Society</w:t>
            </w:r>
            <w:proofErr w:type="spellEnd"/>
            <w:r w:rsidRPr="005C2634">
              <w:t xml:space="preserve"> of </w:t>
            </w:r>
            <w:proofErr w:type="spellStart"/>
            <w:proofErr w:type="gramStart"/>
            <w:r w:rsidRPr="005C2634">
              <w:t>Hypertension</w:t>
            </w:r>
            <w:proofErr w:type="spellEnd"/>
            <w:r w:rsidRPr="005C2634">
              <w:t xml:space="preserve"> .</w:t>
            </w:r>
            <w:proofErr w:type="gramEnd"/>
            <w:r w:rsidRPr="005C2634">
              <w:t xml:space="preserve"> </w:t>
            </w:r>
            <w:proofErr w:type="spellStart"/>
            <w:r w:rsidRPr="005C2634">
              <w:t>June</w:t>
            </w:r>
            <w:proofErr w:type="spellEnd"/>
            <w:r w:rsidRPr="005C2634">
              <w:t xml:space="preserve"> 13 -16, 2014 p: e398 </w:t>
            </w:r>
            <w:proofErr w:type="spellStart"/>
            <w:r w:rsidRPr="005C2634">
              <w:t>Athens</w:t>
            </w:r>
            <w:proofErr w:type="spellEnd"/>
            <w:r w:rsidRPr="005C2634">
              <w:t xml:space="preserve">, </w:t>
            </w:r>
            <w:proofErr w:type="spellStart"/>
            <w:r w:rsidRPr="005C2634">
              <w:t>Greece</w:t>
            </w:r>
            <w:proofErr w:type="spellEnd"/>
            <w:r w:rsidRPr="005C2634">
              <w:t xml:space="preserve">. </w:t>
            </w:r>
          </w:p>
          <w:p w:rsidR="00763F80" w:rsidRPr="005C2634" w:rsidRDefault="00763F80" w:rsidP="00011309">
            <w:pPr>
              <w:jc w:val="both"/>
              <w:rPr>
                <w:bCs/>
              </w:rPr>
            </w:pPr>
            <w:r w:rsidRPr="005C2634">
              <w:rPr>
                <w:bCs/>
              </w:rPr>
              <w:t xml:space="preserve">F. Tekiner, S.I. </w:t>
            </w:r>
            <w:proofErr w:type="spellStart"/>
            <w:r w:rsidRPr="005C2634">
              <w:rPr>
                <w:bCs/>
              </w:rPr>
              <w:t>Guner</w:t>
            </w:r>
            <w:proofErr w:type="spellEnd"/>
            <w:r w:rsidRPr="005C2634">
              <w:rPr>
                <w:bCs/>
              </w:rPr>
              <w:t xml:space="preserve">,   A. Yıldız, </w:t>
            </w:r>
            <w:r w:rsidRPr="005C2634">
              <w:rPr>
                <w:b/>
                <w:bCs/>
              </w:rPr>
              <w:t>C Yıldız</w:t>
            </w:r>
            <w:r w:rsidRPr="005C2634">
              <w:rPr>
                <w:bCs/>
              </w:rPr>
              <w:t xml:space="preserve">. Right </w:t>
            </w:r>
            <w:proofErr w:type="spellStart"/>
            <w:r w:rsidRPr="005C2634">
              <w:rPr>
                <w:bCs/>
              </w:rPr>
              <w:t>ventricle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functions</w:t>
            </w:r>
            <w:proofErr w:type="spellEnd"/>
            <w:r w:rsidRPr="005C2634">
              <w:rPr>
                <w:bCs/>
              </w:rPr>
              <w:t xml:space="preserve"> can be a </w:t>
            </w:r>
            <w:proofErr w:type="spellStart"/>
            <w:r w:rsidRPr="005C2634">
              <w:rPr>
                <w:bCs/>
              </w:rPr>
              <w:t>reliable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method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for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early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recognizing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cardiotoxicity</w:t>
            </w:r>
            <w:proofErr w:type="spellEnd"/>
            <w:r w:rsidRPr="005C2634">
              <w:rPr>
                <w:bCs/>
              </w:rPr>
              <w:t xml:space="preserve"> in </w:t>
            </w:r>
            <w:proofErr w:type="spellStart"/>
            <w:r w:rsidRPr="005C2634">
              <w:rPr>
                <w:bCs/>
              </w:rPr>
              <w:t>hematopoietic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stem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cell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transplantation</w:t>
            </w:r>
            <w:proofErr w:type="spellEnd"/>
            <w:r w:rsidRPr="005C2634">
              <w:rPr>
                <w:bCs/>
              </w:rPr>
              <w:t xml:space="preserve">.  XXI World </w:t>
            </w:r>
            <w:proofErr w:type="spellStart"/>
            <w:r w:rsidRPr="005C2634">
              <w:rPr>
                <w:bCs/>
              </w:rPr>
              <w:t>Congress</w:t>
            </w:r>
            <w:proofErr w:type="spellEnd"/>
            <w:r w:rsidRPr="005C2634">
              <w:rPr>
                <w:bCs/>
              </w:rPr>
              <w:t xml:space="preserve"> of </w:t>
            </w:r>
            <w:proofErr w:type="spellStart"/>
            <w:r w:rsidRPr="005C2634">
              <w:rPr>
                <w:bCs/>
              </w:rPr>
              <w:t>Echocardiography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and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Cardiology</w:t>
            </w:r>
            <w:proofErr w:type="spellEnd"/>
            <w:r w:rsidRPr="005C2634">
              <w:rPr>
                <w:bCs/>
              </w:rPr>
              <w:t xml:space="preserve">, 20-22 </w:t>
            </w:r>
            <w:proofErr w:type="spellStart"/>
            <w:r w:rsidRPr="005C2634">
              <w:rPr>
                <w:bCs/>
              </w:rPr>
              <w:t>November</w:t>
            </w:r>
            <w:proofErr w:type="spellEnd"/>
            <w:r w:rsidRPr="005C2634">
              <w:rPr>
                <w:bCs/>
              </w:rPr>
              <w:t xml:space="preserve">, 2015, </w:t>
            </w:r>
            <w:proofErr w:type="spellStart"/>
            <w:r w:rsidRPr="005C2634">
              <w:rPr>
                <w:bCs/>
              </w:rPr>
              <w:t>Istanbul</w:t>
            </w:r>
            <w:proofErr w:type="spellEnd"/>
            <w:r w:rsidRPr="005C2634">
              <w:rPr>
                <w:bCs/>
              </w:rPr>
              <w:t xml:space="preserve">, TURKEY. </w:t>
            </w:r>
          </w:p>
          <w:p w:rsidR="00763F80" w:rsidRPr="005C2634" w:rsidRDefault="00763F80" w:rsidP="00011309">
            <w:pPr>
              <w:jc w:val="both"/>
              <w:rPr>
                <w:bCs/>
              </w:rPr>
            </w:pPr>
          </w:p>
          <w:p w:rsidR="00763F80" w:rsidRDefault="00763F80" w:rsidP="000113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C2634">
              <w:rPr>
                <w:rFonts w:eastAsia="AdvTimes"/>
              </w:rPr>
              <w:t>Yildiz</w:t>
            </w:r>
            <w:proofErr w:type="spellEnd"/>
            <w:r w:rsidRPr="005C2634">
              <w:rPr>
                <w:rFonts w:eastAsia="AdvTimes"/>
              </w:rPr>
              <w:t xml:space="preserve"> </w:t>
            </w:r>
            <w:proofErr w:type="spellStart"/>
            <w:r w:rsidRPr="005C2634">
              <w:rPr>
                <w:rFonts w:eastAsia="AdvTimes"/>
              </w:rPr>
              <w:t>Abdulmelik</w:t>
            </w:r>
            <w:proofErr w:type="spellEnd"/>
            <w:r w:rsidRPr="005C2634">
              <w:rPr>
                <w:rFonts w:eastAsia="AdvTimes"/>
              </w:rPr>
              <w:t xml:space="preserve">,  </w:t>
            </w:r>
            <w:r w:rsidRPr="009E1C95">
              <w:rPr>
                <w:rFonts w:eastAsia="AdvTimes"/>
                <w:b/>
              </w:rPr>
              <w:t xml:space="preserve">Cennet </w:t>
            </w:r>
            <w:proofErr w:type="spellStart"/>
            <w:r w:rsidRPr="009E1C95">
              <w:rPr>
                <w:rFonts w:eastAsia="AdvTimes"/>
                <w:b/>
              </w:rPr>
              <w:t>Yildiz</w:t>
            </w:r>
            <w:proofErr w:type="spellEnd"/>
            <w:r w:rsidRPr="005C2634">
              <w:rPr>
                <w:rFonts w:eastAsia="AdvTimes"/>
              </w:rPr>
              <w:t xml:space="preserve">, </w:t>
            </w:r>
            <w:proofErr w:type="spellStart"/>
            <w:r w:rsidRPr="005C2634">
              <w:rPr>
                <w:rFonts w:eastAsia="AdvTimes"/>
              </w:rPr>
              <w:t>Secen</w:t>
            </w:r>
            <w:proofErr w:type="spellEnd"/>
            <w:r w:rsidRPr="005C2634">
              <w:rPr>
                <w:rFonts w:eastAsia="AdvTimes"/>
              </w:rPr>
              <w:t xml:space="preserve"> </w:t>
            </w:r>
            <w:proofErr w:type="spellStart"/>
            <w:r w:rsidRPr="005C2634">
              <w:rPr>
                <w:rFonts w:eastAsia="AdvTimes"/>
              </w:rPr>
              <w:t>Ozlem</w:t>
            </w:r>
            <w:proofErr w:type="spellEnd"/>
            <w:r w:rsidRPr="005C2634">
              <w:rPr>
                <w:rFonts w:eastAsia="AdvTimes"/>
              </w:rPr>
              <w:t xml:space="preserve">, </w:t>
            </w:r>
            <w:proofErr w:type="spellStart"/>
            <w:r w:rsidRPr="005C2634">
              <w:rPr>
                <w:rFonts w:eastAsia="AdvTimes"/>
              </w:rPr>
              <w:t>Karakurt</w:t>
            </w:r>
            <w:proofErr w:type="spellEnd"/>
            <w:r w:rsidRPr="005C2634">
              <w:rPr>
                <w:rFonts w:eastAsia="AdvTimes"/>
              </w:rPr>
              <w:t xml:space="preserve"> Ahmet. </w:t>
            </w:r>
            <w:proofErr w:type="spellStart"/>
            <w:r w:rsidRPr="005C2634">
              <w:t>Assessment</w:t>
            </w:r>
            <w:proofErr w:type="spellEnd"/>
            <w:r w:rsidRPr="005C2634">
              <w:t xml:space="preserve"> of </w:t>
            </w:r>
            <w:proofErr w:type="spellStart"/>
            <w:r w:rsidRPr="005C2634">
              <w:t>cardiac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autonomic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functions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by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heart</w:t>
            </w:r>
            <w:proofErr w:type="spellEnd"/>
            <w:r w:rsidRPr="005C2634">
              <w:t xml:space="preserve"> rate </w:t>
            </w:r>
            <w:proofErr w:type="spellStart"/>
            <w:r w:rsidRPr="005C2634">
              <w:t>variability</w:t>
            </w:r>
            <w:proofErr w:type="spellEnd"/>
            <w:r w:rsidRPr="005C2634">
              <w:t xml:space="preserve"> in </w:t>
            </w:r>
            <w:proofErr w:type="spellStart"/>
            <w:r w:rsidRPr="005C2634">
              <w:t>patients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withrestless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leg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syndrome</w:t>
            </w:r>
            <w:proofErr w:type="spellEnd"/>
            <w:r w:rsidRPr="005C2634">
              <w:t xml:space="preserve">. </w:t>
            </w:r>
            <w:proofErr w:type="spellStart"/>
            <w:r w:rsidRPr="005C2634">
              <w:t>The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European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Association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for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Cardiovascular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Prevention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Rehabilitation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Congress</w:t>
            </w:r>
            <w:proofErr w:type="spellEnd"/>
            <w:r w:rsidRPr="005C2634">
              <w:t xml:space="preserve">,  </w:t>
            </w:r>
            <w:r w:rsidRPr="005C2634">
              <w:rPr>
                <w:bCs/>
              </w:rPr>
              <w:t xml:space="preserve">14-15 </w:t>
            </w:r>
            <w:proofErr w:type="spellStart"/>
            <w:r w:rsidRPr="005C2634">
              <w:rPr>
                <w:bCs/>
              </w:rPr>
              <w:t>June</w:t>
            </w:r>
            <w:proofErr w:type="spellEnd"/>
            <w:r w:rsidRPr="005C2634">
              <w:rPr>
                <w:bCs/>
              </w:rPr>
              <w:t xml:space="preserve">, 2016,  </w:t>
            </w:r>
            <w:proofErr w:type="spellStart"/>
            <w:r w:rsidRPr="005C2634">
              <w:rPr>
                <w:bCs/>
              </w:rPr>
              <w:t>Sophia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Antipolis</w:t>
            </w:r>
            <w:proofErr w:type="spellEnd"/>
            <w:r w:rsidRPr="005C2634">
              <w:rPr>
                <w:bCs/>
              </w:rPr>
              <w:t xml:space="preserve">, France.   </w:t>
            </w:r>
          </w:p>
          <w:p w:rsidR="00763F80" w:rsidRDefault="00763F80" w:rsidP="000113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63F80" w:rsidRPr="005C2634" w:rsidRDefault="00763F80" w:rsidP="000113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2634">
              <w:rPr>
                <w:rFonts w:eastAsia="AdvTimes"/>
              </w:rPr>
              <w:t xml:space="preserve"> </w:t>
            </w:r>
            <w:proofErr w:type="spellStart"/>
            <w:r w:rsidRPr="005C2634">
              <w:rPr>
                <w:rFonts w:eastAsia="AdvTimes"/>
              </w:rPr>
              <w:t>Yildiz</w:t>
            </w:r>
            <w:proofErr w:type="spellEnd"/>
            <w:r w:rsidRPr="005C2634">
              <w:rPr>
                <w:rFonts w:eastAsia="AdvTimes"/>
              </w:rPr>
              <w:t xml:space="preserve"> </w:t>
            </w:r>
            <w:proofErr w:type="spellStart"/>
            <w:r w:rsidRPr="005C2634">
              <w:rPr>
                <w:rFonts w:eastAsia="AdvTimes"/>
              </w:rPr>
              <w:t>Abdulmelik</w:t>
            </w:r>
            <w:proofErr w:type="spellEnd"/>
            <w:r>
              <w:rPr>
                <w:rFonts w:eastAsia="AdvTimes"/>
              </w:rPr>
              <w:t xml:space="preserve">, </w:t>
            </w:r>
            <w:r w:rsidRPr="009E1C95">
              <w:rPr>
                <w:rFonts w:eastAsia="AdvTimes"/>
                <w:b/>
              </w:rPr>
              <w:t xml:space="preserve">Cennet </w:t>
            </w:r>
            <w:proofErr w:type="spellStart"/>
            <w:r w:rsidRPr="009E1C95">
              <w:rPr>
                <w:rFonts w:eastAsia="AdvTimes"/>
                <w:b/>
              </w:rPr>
              <w:t>Yildiz</w:t>
            </w:r>
            <w:proofErr w:type="spellEnd"/>
            <w:r w:rsidRPr="005C2634">
              <w:rPr>
                <w:rFonts w:eastAsia="AdvTimes"/>
              </w:rPr>
              <w:t xml:space="preserve">. </w:t>
            </w:r>
            <w:proofErr w:type="spellStart"/>
            <w:r w:rsidRPr="005C2634">
              <w:t>The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effect</w:t>
            </w:r>
            <w:proofErr w:type="spellEnd"/>
            <w:r w:rsidRPr="005C2634">
              <w:t xml:space="preserve"> of </w:t>
            </w:r>
            <w:proofErr w:type="spellStart"/>
            <w:r w:rsidRPr="005C2634">
              <w:t>divorce</w:t>
            </w:r>
            <w:proofErr w:type="spellEnd"/>
            <w:r w:rsidRPr="005C2634">
              <w:t xml:space="preserve"> on </w:t>
            </w:r>
            <w:proofErr w:type="spellStart"/>
            <w:r w:rsidRPr="005C2634">
              <w:t>cardiac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autonomic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f</w:t>
            </w:r>
            <w:r>
              <w:t>unctions</w:t>
            </w:r>
            <w:proofErr w:type="spellEnd"/>
            <w:r>
              <w:t xml:space="preserve"> in </w:t>
            </w:r>
            <w:proofErr w:type="spellStart"/>
            <w:r>
              <w:t>women</w:t>
            </w:r>
            <w:proofErr w:type="spellEnd"/>
            <w:r>
              <w:t xml:space="preserve">: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 w:rsidRPr="005C2634">
              <w:t>between</w:t>
            </w:r>
            <w:proofErr w:type="spellEnd"/>
            <w:r w:rsidRPr="005C2634">
              <w:t xml:space="preserve"> Hamilton </w:t>
            </w:r>
            <w:proofErr w:type="spellStart"/>
            <w:r w:rsidRPr="005C2634">
              <w:t>anxiety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score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and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heart</w:t>
            </w:r>
            <w:proofErr w:type="spellEnd"/>
            <w:r w:rsidRPr="005C2634">
              <w:t xml:space="preserve"> rate </w:t>
            </w:r>
            <w:proofErr w:type="spellStart"/>
            <w:r w:rsidRPr="005C2634">
              <w:t>variability</w:t>
            </w:r>
            <w:proofErr w:type="spellEnd"/>
            <w:r w:rsidRPr="005C2634">
              <w:t xml:space="preserve">. </w:t>
            </w:r>
            <w:proofErr w:type="spellStart"/>
            <w:r w:rsidRPr="005C2634">
              <w:t>The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European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Association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for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Cardiovascular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Prevention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Rehabilitation</w:t>
            </w:r>
            <w:proofErr w:type="spellEnd"/>
            <w:r w:rsidRPr="005C2634">
              <w:t xml:space="preserve"> </w:t>
            </w:r>
            <w:proofErr w:type="spellStart"/>
            <w:r w:rsidRPr="005C2634">
              <w:t>Congress</w:t>
            </w:r>
            <w:proofErr w:type="spellEnd"/>
            <w:r w:rsidRPr="005C2634">
              <w:t xml:space="preserve">,  </w:t>
            </w:r>
            <w:r w:rsidRPr="005C2634">
              <w:rPr>
                <w:bCs/>
              </w:rPr>
              <w:t xml:space="preserve">14-15 </w:t>
            </w:r>
            <w:proofErr w:type="spellStart"/>
            <w:r w:rsidRPr="005C2634">
              <w:rPr>
                <w:bCs/>
              </w:rPr>
              <w:t>June</w:t>
            </w:r>
            <w:proofErr w:type="spellEnd"/>
            <w:r w:rsidRPr="005C2634">
              <w:rPr>
                <w:bCs/>
              </w:rPr>
              <w:t xml:space="preserve">, 2016,  </w:t>
            </w:r>
            <w:proofErr w:type="spellStart"/>
            <w:r w:rsidRPr="005C2634">
              <w:rPr>
                <w:bCs/>
              </w:rPr>
              <w:t>Sophia</w:t>
            </w:r>
            <w:proofErr w:type="spellEnd"/>
            <w:r w:rsidRPr="005C2634">
              <w:rPr>
                <w:bCs/>
              </w:rPr>
              <w:t xml:space="preserve"> </w:t>
            </w:r>
            <w:proofErr w:type="spellStart"/>
            <w:r w:rsidRPr="005C2634">
              <w:rPr>
                <w:bCs/>
              </w:rPr>
              <w:t>Antipolis</w:t>
            </w:r>
            <w:proofErr w:type="spellEnd"/>
            <w:r w:rsidRPr="005C2634">
              <w:rPr>
                <w:bCs/>
              </w:rPr>
              <w:t xml:space="preserve">, France.   </w:t>
            </w:r>
          </w:p>
          <w:p w:rsidR="00763F80" w:rsidRPr="005C2634" w:rsidRDefault="00763F80" w:rsidP="00011309">
            <w:pPr>
              <w:autoSpaceDE w:val="0"/>
              <w:autoSpaceDN w:val="0"/>
              <w:adjustRightInd w:val="0"/>
            </w:pPr>
          </w:p>
        </w:tc>
      </w:tr>
      <w:tr w:rsidR="00763F80" w:rsidRPr="00C7486C" w:rsidTr="003177EB">
        <w:trPr>
          <w:trHeight w:val="9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5C2634" w:rsidRDefault="00763F80" w:rsidP="00011309">
            <w:pPr>
              <w:jc w:val="both"/>
            </w:pPr>
            <w:r w:rsidRPr="005C2634">
              <w:rPr>
                <w:b/>
                <w:bCs/>
              </w:rPr>
              <w:lastRenderedPageBreak/>
              <w:t>7.3. Yazılan Uluslararası kitaplar veya kitaplarda bölümler.</w:t>
            </w:r>
          </w:p>
        </w:tc>
      </w:tr>
      <w:tr w:rsidR="00763F80" w:rsidRPr="00C7486C" w:rsidTr="003177EB">
        <w:trPr>
          <w:trHeight w:val="90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C7486C" w:rsidRDefault="00763F80" w:rsidP="00011309">
            <w:pPr>
              <w:jc w:val="both"/>
              <w:rPr>
                <w:b/>
                <w:bCs/>
              </w:rPr>
            </w:pPr>
            <w:r w:rsidRPr="00C7486C">
              <w:rPr>
                <w:b/>
                <w:bCs/>
              </w:rPr>
              <w:t xml:space="preserve">7.4. Ulusal hakemli dergilerde yayınlanan makaleler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  <w:bCs/>
              </w:rPr>
              <w:t>C Erbaş</w:t>
            </w:r>
            <w:r w:rsidRPr="00C7486C">
              <w:t xml:space="preserve">, Z Yiğit, H Mutlu. Gebelik ve </w:t>
            </w:r>
            <w:proofErr w:type="spellStart"/>
            <w:r w:rsidRPr="00C7486C">
              <w:t>antikoagulasyon</w:t>
            </w:r>
            <w:proofErr w:type="spellEnd"/>
            <w:r w:rsidRPr="00C7486C">
              <w:t>.</w:t>
            </w:r>
            <w:r w:rsidRPr="00C7486C">
              <w:rPr>
                <w:rFonts w:ascii="Segoe UI" w:hAnsi="Segoe UI" w:cs="Segoe UI"/>
              </w:rPr>
              <w:t xml:space="preserve"> </w:t>
            </w:r>
            <w:r w:rsidRPr="00C7486C">
              <w:t>Hipokrat Kardiyoloji.2001; 18:38-42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  <w:bCs/>
              </w:rPr>
              <w:t>C Erbaş</w:t>
            </w:r>
            <w:r w:rsidRPr="00C7486C">
              <w:t xml:space="preserve">. Doku </w:t>
            </w:r>
            <w:proofErr w:type="spellStart"/>
            <w:r w:rsidRPr="00C7486C">
              <w:t>doppler</w:t>
            </w:r>
            <w:proofErr w:type="spellEnd"/>
            <w:r w:rsidRPr="00C7486C">
              <w:rPr>
                <w:rFonts w:ascii="Segoe UI" w:hAnsi="Segoe UI" w:cs="Segoe UI"/>
              </w:rPr>
              <w:t xml:space="preserve"> </w:t>
            </w:r>
            <w:r w:rsidRPr="00C7486C">
              <w:t>ekokardiyografi. Hipokrat Kardiyoloji; 2003; (04)27:103-109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t xml:space="preserve">H. Mutlu, B </w:t>
            </w:r>
            <w:proofErr w:type="spellStart"/>
            <w:r w:rsidRPr="00C7486C">
              <w:t>Ökçün</w:t>
            </w:r>
            <w:proofErr w:type="spellEnd"/>
            <w:r w:rsidRPr="00C7486C">
              <w:t>, S Mesut Doğan, E Okuyan</w:t>
            </w:r>
            <w:r w:rsidRPr="00C7486C">
              <w:rPr>
                <w:b/>
                <w:bCs/>
              </w:rPr>
              <w:t>, C Erbaş</w:t>
            </w:r>
            <w:r w:rsidRPr="00C7486C">
              <w:t xml:space="preserve">, H Özhan. </w:t>
            </w:r>
            <w:proofErr w:type="spellStart"/>
            <w:r w:rsidRPr="00C7486C">
              <w:t>Günluk</w:t>
            </w:r>
            <w:proofErr w:type="spellEnd"/>
            <w:r w:rsidRPr="00C7486C">
              <w:t xml:space="preserve"> tek doz verilen </w:t>
            </w:r>
            <w:proofErr w:type="spellStart"/>
            <w:r w:rsidRPr="00C7486C">
              <w:t>diltiazem</w:t>
            </w:r>
            <w:proofErr w:type="spellEnd"/>
            <w:r w:rsidRPr="00C7486C">
              <w:t xml:space="preserve"> SR 120 </w:t>
            </w:r>
            <w:proofErr w:type="spellStart"/>
            <w:r w:rsidRPr="00C7486C">
              <w:t>mg’nın</w:t>
            </w:r>
            <w:proofErr w:type="spellEnd"/>
            <w:r w:rsidRPr="00C7486C">
              <w:t xml:space="preserve"> kan basıncı ve kan parametrelerine etkisi.</w:t>
            </w:r>
            <w:r w:rsidRPr="00C7486C">
              <w:rPr>
                <w:rFonts w:ascii="Segoe UI" w:hAnsi="Segoe UI" w:cs="Segoe UI"/>
              </w:rPr>
              <w:t xml:space="preserve"> </w:t>
            </w:r>
            <w:r w:rsidRPr="00C7486C">
              <w:t>Hipokrat Kardiyoloji 2001;(05)19:18-21.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t xml:space="preserve">A Yıldız, </w:t>
            </w:r>
            <w:r w:rsidRPr="00C7486C">
              <w:rPr>
                <w:b/>
                <w:bCs/>
              </w:rPr>
              <w:t>C Yıldız.</w:t>
            </w:r>
            <w:r w:rsidRPr="00C7486C">
              <w:rPr>
                <w:rFonts w:ascii="Segoe UI" w:hAnsi="Segoe UI" w:cs="Segoe UI"/>
              </w:rPr>
              <w:t xml:space="preserve"> </w:t>
            </w:r>
            <w:proofErr w:type="spellStart"/>
            <w:r w:rsidRPr="00C7486C">
              <w:t>Atrial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fibrilasyonda</w:t>
            </w:r>
            <w:proofErr w:type="spellEnd"/>
            <w:r w:rsidRPr="00C7486C">
              <w:t xml:space="preserve"> pıhtı önleyici tedavi uygulamalarında kılavuzlara uygunluğun araştırılması: ikincil merkez deneyimi. Fırat Tıp Dergisi. 2013; 18:203-207.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  <w:bCs/>
              </w:rPr>
              <w:t>C Yıldız</w:t>
            </w:r>
            <w:r w:rsidRPr="00C7486C">
              <w:t xml:space="preserve">, A Yıldız, F Tekiner. </w:t>
            </w:r>
            <w:proofErr w:type="spellStart"/>
            <w:r w:rsidRPr="00C7486C">
              <w:t>Premenopozal</w:t>
            </w:r>
            <w:proofErr w:type="spellEnd"/>
            <w:r w:rsidRPr="00C7486C">
              <w:t xml:space="preserve"> ve </w:t>
            </w:r>
            <w:proofErr w:type="spellStart"/>
            <w:r w:rsidRPr="00C7486C">
              <w:t>postmenopozal</w:t>
            </w:r>
            <w:proofErr w:type="spellEnd"/>
            <w:r w:rsidRPr="00C7486C">
              <w:t xml:space="preserve"> kadınlarda lipit </w:t>
            </w:r>
            <w:proofErr w:type="gramStart"/>
            <w:r w:rsidRPr="00C7486C">
              <w:t>profili</w:t>
            </w:r>
            <w:proofErr w:type="gramEnd"/>
            <w:r w:rsidRPr="00C7486C">
              <w:t xml:space="preserve"> ve </w:t>
            </w:r>
            <w:proofErr w:type="spellStart"/>
            <w:r w:rsidRPr="00C7486C">
              <w:t>aterojenik</w:t>
            </w:r>
            <w:proofErr w:type="spellEnd"/>
            <w:r w:rsidRPr="00C7486C">
              <w:t xml:space="preserve"> indeksin karşılaştırılması. Dicle Tıp Dergisi. 2015;42(1):36-40.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t xml:space="preserve">G </w:t>
            </w:r>
            <w:proofErr w:type="spellStart"/>
            <w:r w:rsidRPr="00C7486C">
              <w:t>Durat</w:t>
            </w:r>
            <w:proofErr w:type="spellEnd"/>
            <w:r w:rsidRPr="00C7486C">
              <w:t xml:space="preserve">, N Keser, </w:t>
            </w:r>
            <w:r w:rsidRPr="00C7486C">
              <w:rPr>
                <w:b/>
                <w:bCs/>
              </w:rPr>
              <w:t>C Yıldız</w:t>
            </w:r>
            <w:r w:rsidRPr="00C7486C">
              <w:t xml:space="preserve">. Evaluation of </w:t>
            </w:r>
            <w:proofErr w:type="spellStart"/>
            <w:r w:rsidRPr="00C7486C">
              <w:t>hypertensive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patients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with</w:t>
            </w:r>
            <w:proofErr w:type="spellEnd"/>
            <w:r w:rsidRPr="00C7486C">
              <w:t xml:space="preserve"> general </w:t>
            </w:r>
            <w:proofErr w:type="spellStart"/>
            <w:r w:rsidRPr="00C7486C">
              <w:t>health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questionnaire</w:t>
            </w:r>
            <w:proofErr w:type="spellEnd"/>
            <w:r w:rsidRPr="00C7486C">
              <w:t xml:space="preserve">. </w:t>
            </w:r>
            <w:proofErr w:type="spellStart"/>
            <w:r w:rsidRPr="00C7486C">
              <w:t>Turkiye</w:t>
            </w:r>
            <w:proofErr w:type="spellEnd"/>
            <w:r w:rsidRPr="00C7486C">
              <w:t xml:space="preserve"> Klinikleri J </w:t>
            </w:r>
            <w:proofErr w:type="spellStart"/>
            <w:r w:rsidRPr="00C7486C">
              <w:t>Cardiovasc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Sci</w:t>
            </w:r>
            <w:proofErr w:type="spellEnd"/>
            <w:r w:rsidRPr="00C7486C">
              <w:t xml:space="preserve"> 2015;27 (1):1-6.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  <w:rPr>
                <w:iCs/>
              </w:rPr>
            </w:pPr>
            <w:r w:rsidRPr="00C7486C">
              <w:t xml:space="preserve">Tekiner F, </w:t>
            </w:r>
            <w:proofErr w:type="spellStart"/>
            <w:r w:rsidRPr="00C7486C">
              <w:t>Karakurt</w:t>
            </w:r>
            <w:proofErr w:type="spellEnd"/>
            <w:r w:rsidRPr="00C7486C">
              <w:t xml:space="preserve"> A, Yıldız A, </w:t>
            </w:r>
            <w:r w:rsidRPr="00C7486C">
              <w:rPr>
                <w:b/>
              </w:rPr>
              <w:t>Yıldız C.</w:t>
            </w:r>
            <w:r w:rsidRPr="00C7486C">
              <w:t xml:space="preserve"> </w:t>
            </w:r>
            <w:proofErr w:type="spellStart"/>
            <w:r w:rsidRPr="00C7486C">
              <w:t>Coronary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vasospasm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due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to</w:t>
            </w:r>
            <w:proofErr w:type="spellEnd"/>
            <w:r w:rsidRPr="00C7486C">
              <w:t xml:space="preserve"> 5-fluorouracil </w:t>
            </w:r>
            <w:proofErr w:type="spellStart"/>
            <w:r w:rsidRPr="00C7486C">
              <w:t>treatment</w:t>
            </w:r>
            <w:proofErr w:type="spellEnd"/>
            <w:r w:rsidRPr="00C7486C">
              <w:t xml:space="preserve">: A </w:t>
            </w:r>
            <w:proofErr w:type="spellStart"/>
            <w:r w:rsidRPr="00C7486C">
              <w:t>case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report</w:t>
            </w:r>
            <w:proofErr w:type="spellEnd"/>
            <w:r w:rsidRPr="00C7486C">
              <w:t>. Kafkas Tıp Bilimleri Dergisi. 2015;5(2):78-80.</w:t>
            </w:r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doi</w:t>
            </w:r>
            <w:proofErr w:type="spellEnd"/>
            <w:r w:rsidRPr="00C7486C">
              <w:rPr>
                <w:iCs/>
              </w:rPr>
              <w:t>: 10.5505/kjms.2015.57070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  <w:rPr>
                <w:iCs/>
              </w:rPr>
            </w:pPr>
            <w:r w:rsidRPr="00C7486C">
              <w:rPr>
                <w:b/>
                <w:iCs/>
              </w:rPr>
              <w:lastRenderedPageBreak/>
              <w:t>C Yıldız</w:t>
            </w:r>
            <w:r w:rsidRPr="00C7486C">
              <w:rPr>
                <w:iCs/>
              </w:rPr>
              <w:t xml:space="preserve">, A Yıldız, F Tekiner, A </w:t>
            </w:r>
            <w:proofErr w:type="spellStart"/>
            <w:r w:rsidRPr="00C7486C">
              <w:rPr>
                <w:iCs/>
              </w:rPr>
              <w:t>Karakurt</w:t>
            </w:r>
            <w:proofErr w:type="spellEnd"/>
            <w:r w:rsidRPr="00C7486C">
              <w:rPr>
                <w:iCs/>
              </w:rPr>
              <w:t xml:space="preserve">. </w:t>
            </w:r>
            <w:proofErr w:type="spellStart"/>
            <w:r w:rsidRPr="00C7486C">
              <w:rPr>
                <w:iCs/>
              </w:rPr>
              <w:t>Cardiac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autonomic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impairement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and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chronotropic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incompetence</w:t>
            </w:r>
            <w:proofErr w:type="spellEnd"/>
            <w:r w:rsidRPr="00C7486C">
              <w:rPr>
                <w:iCs/>
              </w:rPr>
              <w:t xml:space="preserve"> in </w:t>
            </w:r>
            <w:proofErr w:type="spellStart"/>
            <w:r w:rsidRPr="00C7486C">
              <w:rPr>
                <w:iCs/>
              </w:rPr>
              <w:t>dipper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and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nondipper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hypertension</w:t>
            </w:r>
            <w:proofErr w:type="spellEnd"/>
            <w:r w:rsidRPr="00C7486C">
              <w:rPr>
                <w:iCs/>
              </w:rPr>
              <w:t xml:space="preserve">. Türkiye Klinikleri </w:t>
            </w:r>
            <w:proofErr w:type="spellStart"/>
            <w:r w:rsidRPr="00C7486C">
              <w:rPr>
                <w:iCs/>
              </w:rPr>
              <w:t>Cardiovasc</w:t>
            </w:r>
            <w:proofErr w:type="spellEnd"/>
            <w:r w:rsidRPr="00C7486C">
              <w:rPr>
                <w:iCs/>
              </w:rPr>
              <w:t xml:space="preserve"> </w:t>
            </w:r>
            <w:proofErr w:type="spellStart"/>
            <w:r w:rsidRPr="00C7486C">
              <w:rPr>
                <w:iCs/>
              </w:rPr>
              <w:t>Sci</w:t>
            </w:r>
            <w:proofErr w:type="spellEnd"/>
            <w:r w:rsidRPr="00C7486C">
              <w:rPr>
                <w:iCs/>
              </w:rPr>
              <w:t xml:space="preserve"> 2015; 27 (2):68-72</w:t>
            </w:r>
          </w:p>
          <w:p w:rsidR="00763F80" w:rsidRDefault="00763F80" w:rsidP="00011309">
            <w:pPr>
              <w:pStyle w:val="Balk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Gülgün DURAT, Nurgül KESER, </w:t>
            </w:r>
            <w:r w:rsidRPr="00C7486C">
              <w:rPr>
                <w:rFonts w:ascii="Times New Roman" w:hAnsi="Times New Roman"/>
                <w:sz w:val="24"/>
                <w:szCs w:val="24"/>
              </w:rPr>
              <w:t>Cennet YILDIZ</w:t>
            </w:r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C7486C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Evaluation of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Hypertensive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Patients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with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General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Health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Questionnaire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. Türkiye Klinikleri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Cardiovascular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Sciences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 xml:space="preserve"> 2016; 27(1):1-6 </w:t>
            </w:r>
            <w:proofErr w:type="spellStart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doi</w:t>
            </w:r>
            <w:proofErr w:type="spellEnd"/>
            <w:r w:rsidRPr="00C7486C">
              <w:rPr>
                <w:rFonts w:ascii="Times New Roman" w:hAnsi="Times New Roman"/>
                <w:b w:val="0"/>
                <w:sz w:val="24"/>
                <w:szCs w:val="24"/>
              </w:rPr>
              <w:t>: 10.5336/cardiosci.2014-39724</w:t>
            </w:r>
          </w:p>
          <w:p w:rsidR="00763F80" w:rsidRDefault="00763F80" w:rsidP="000113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63F80" w:rsidRDefault="00763F80" w:rsidP="00011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Karakurt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Pr="00174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Abdulmelik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Yıldız,</w:t>
            </w:r>
            <w:r w:rsidRPr="00174813">
              <w:rPr>
                <w:rFonts w:ascii="Times New Roman" w:hAnsi="Times New Roman" w:cs="Times New Roman"/>
              </w:rPr>
              <w:t xml:space="preserve"> </w:t>
            </w:r>
            <w:r w:rsidRPr="00174813">
              <w:rPr>
                <w:rFonts w:ascii="Times New Roman" w:hAnsi="Times New Roman" w:cs="Times New Roman"/>
                <w:b/>
                <w:bCs/>
              </w:rPr>
              <w:t>Cennet Yıldız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174813">
              <w:rPr>
                <w:rFonts w:ascii="Times New Roman" w:hAnsi="Times New Roman" w:cs="Times New Roman"/>
                <w:bCs/>
              </w:rPr>
              <w:t xml:space="preserve">Hamit Serdar Başbuğ.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Association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Zwolle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Score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with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Fragmented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QRS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Complex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: A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Combined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Prognostic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Tool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for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Primary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Angioplasty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in ST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Elevation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Myocardial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Infarctions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Ulutas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4813">
              <w:rPr>
                <w:rFonts w:ascii="Times New Roman" w:hAnsi="Times New Roman" w:cs="Times New Roman"/>
                <w:bCs/>
              </w:rPr>
              <w:t>Med</w:t>
            </w:r>
            <w:proofErr w:type="spellEnd"/>
            <w:r w:rsidRPr="00174813">
              <w:rPr>
                <w:rFonts w:ascii="Times New Roman" w:hAnsi="Times New Roman" w:cs="Times New Roman"/>
                <w:bCs/>
              </w:rPr>
              <w:t xml:space="preserve"> J </w:t>
            </w:r>
            <w:r w:rsidRPr="00174813">
              <w:rPr>
                <w:rFonts w:ascii="Times New Roman" w:hAnsi="Times New Roman" w:cs="Times New Roman"/>
              </w:rPr>
              <w:t xml:space="preserve">2016;2(1):66-76 </w:t>
            </w:r>
            <w:r w:rsidRPr="00174813">
              <w:rPr>
                <w:rFonts w:ascii="Times New Roman" w:hAnsi="Times New Roman" w:cs="Times New Roman"/>
                <w:bCs/>
              </w:rPr>
              <w:t xml:space="preserve">DOI: </w:t>
            </w:r>
            <w:r w:rsidRPr="00174813">
              <w:rPr>
                <w:rFonts w:ascii="Times New Roman" w:hAnsi="Times New Roman" w:cs="Times New Roman"/>
              </w:rPr>
              <w:t>10.5455/umj.20160424111257</w:t>
            </w:r>
          </w:p>
          <w:p w:rsidR="00763F80" w:rsidRDefault="00763F80" w:rsidP="00011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63F80" w:rsidRPr="00174813" w:rsidRDefault="00763F80" w:rsidP="00011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63F80" w:rsidRDefault="00763F80" w:rsidP="00011309">
            <w:r w:rsidRPr="007A6CA9">
              <w:rPr>
                <w:b/>
              </w:rPr>
              <w:t>Cennet YILDIZ</w:t>
            </w:r>
            <w:r w:rsidRPr="00FD095F">
              <w:t xml:space="preserve">, Abdülmelik YILDIZ, Yılmaz GUNES. </w:t>
            </w:r>
            <w:proofErr w:type="spellStart"/>
            <w:r w:rsidRPr="00FD095F">
              <w:rPr>
                <w:bCs/>
              </w:rPr>
              <w:t>Red</w:t>
            </w:r>
            <w:proofErr w:type="spellEnd"/>
            <w:r w:rsidRPr="00FD095F">
              <w:rPr>
                <w:bCs/>
              </w:rPr>
              <w:t xml:space="preserve"> Blood Cell Distribution </w:t>
            </w:r>
            <w:proofErr w:type="spellStart"/>
            <w:r w:rsidRPr="00FD095F">
              <w:rPr>
                <w:bCs/>
              </w:rPr>
              <w:t>Width</w:t>
            </w:r>
            <w:proofErr w:type="spellEnd"/>
            <w:r w:rsidRPr="00FD095F">
              <w:rPr>
                <w:bCs/>
              </w:rPr>
              <w:t xml:space="preserve">, </w:t>
            </w:r>
            <w:proofErr w:type="spellStart"/>
            <w:r w:rsidRPr="00FD095F">
              <w:rPr>
                <w:bCs/>
              </w:rPr>
              <w:t>Mean</w:t>
            </w:r>
            <w:proofErr w:type="spellEnd"/>
            <w:r w:rsidRPr="00FD095F">
              <w:rPr>
                <w:bCs/>
              </w:rPr>
              <w:t xml:space="preserve"> </w:t>
            </w:r>
            <w:proofErr w:type="spellStart"/>
            <w:r w:rsidRPr="00FD095F">
              <w:rPr>
                <w:bCs/>
              </w:rPr>
              <w:t>Platelet</w:t>
            </w:r>
            <w:proofErr w:type="spellEnd"/>
            <w:r w:rsidRPr="00FD095F">
              <w:rPr>
                <w:bCs/>
              </w:rPr>
              <w:t xml:space="preserve"> Volume </w:t>
            </w:r>
            <w:proofErr w:type="spellStart"/>
            <w:r w:rsidRPr="00FD095F">
              <w:rPr>
                <w:bCs/>
              </w:rPr>
              <w:t>and</w:t>
            </w:r>
            <w:proofErr w:type="spellEnd"/>
            <w:r w:rsidRPr="00FD095F">
              <w:rPr>
                <w:bCs/>
              </w:rPr>
              <w:t xml:space="preserve"> </w:t>
            </w:r>
            <w:proofErr w:type="spellStart"/>
            <w:r w:rsidRPr="00FD095F">
              <w:rPr>
                <w:bCs/>
              </w:rPr>
              <w:t>Neutrophil</w:t>
            </w:r>
            <w:proofErr w:type="spellEnd"/>
            <w:r w:rsidRPr="00FD095F">
              <w:rPr>
                <w:bCs/>
              </w:rPr>
              <w:t>/</w:t>
            </w:r>
            <w:proofErr w:type="spellStart"/>
            <w:r w:rsidRPr="00FD095F">
              <w:rPr>
                <w:bCs/>
              </w:rPr>
              <w:t>Lymphocyte</w:t>
            </w:r>
            <w:proofErr w:type="spellEnd"/>
            <w:r w:rsidRPr="00FD095F">
              <w:rPr>
                <w:bCs/>
              </w:rPr>
              <w:t xml:space="preserve"> </w:t>
            </w:r>
            <w:proofErr w:type="spellStart"/>
            <w:r w:rsidRPr="00FD095F">
              <w:rPr>
                <w:bCs/>
              </w:rPr>
              <w:t>Ratio</w:t>
            </w:r>
            <w:proofErr w:type="spellEnd"/>
            <w:r w:rsidRPr="00FD095F">
              <w:rPr>
                <w:bCs/>
              </w:rPr>
              <w:t xml:space="preserve"> in '</w:t>
            </w:r>
            <w:proofErr w:type="spellStart"/>
            <w:r w:rsidRPr="00FD095F">
              <w:rPr>
                <w:bCs/>
              </w:rPr>
              <w:t>Non-Dippers</w:t>
            </w:r>
            <w:proofErr w:type="spellEnd"/>
            <w:r w:rsidRPr="00FD095F">
              <w:rPr>
                <w:bCs/>
              </w:rPr>
              <w:t xml:space="preserve">' </w:t>
            </w:r>
            <w:proofErr w:type="spellStart"/>
            <w:r w:rsidRPr="00FD095F">
              <w:rPr>
                <w:bCs/>
              </w:rPr>
              <w:t>Versus</w:t>
            </w:r>
            <w:proofErr w:type="spellEnd"/>
            <w:r w:rsidRPr="00FD095F">
              <w:rPr>
                <w:bCs/>
              </w:rPr>
              <w:t xml:space="preserve">  '</w:t>
            </w:r>
            <w:proofErr w:type="spellStart"/>
            <w:r w:rsidRPr="00FD095F">
              <w:rPr>
                <w:bCs/>
              </w:rPr>
              <w:t>Dippers</w:t>
            </w:r>
            <w:proofErr w:type="spellEnd"/>
            <w:r w:rsidRPr="00FD095F">
              <w:rPr>
                <w:bCs/>
              </w:rPr>
              <w:t>'</w:t>
            </w:r>
            <w:r w:rsidRPr="00FD095F">
              <w:rPr>
                <w:b/>
                <w:bCs/>
              </w:rPr>
              <w:t xml:space="preserve">. </w:t>
            </w:r>
            <w:r w:rsidRPr="00FD095F">
              <w:t xml:space="preserve">Fırat Tıp </w:t>
            </w:r>
            <w:proofErr w:type="spellStart"/>
            <w:r w:rsidRPr="00FD095F">
              <w:t>Derg</w:t>
            </w:r>
            <w:proofErr w:type="spellEnd"/>
            <w:r w:rsidRPr="00FD095F">
              <w:t>/</w:t>
            </w:r>
            <w:proofErr w:type="spellStart"/>
            <w:r w:rsidRPr="00FD095F">
              <w:t>Firat</w:t>
            </w:r>
            <w:proofErr w:type="spellEnd"/>
            <w:r w:rsidRPr="00FD095F">
              <w:t xml:space="preserve"> </w:t>
            </w:r>
            <w:proofErr w:type="spellStart"/>
            <w:r w:rsidRPr="00FD095F">
              <w:t>Med</w:t>
            </w:r>
            <w:proofErr w:type="spellEnd"/>
            <w:r w:rsidRPr="00FD095F">
              <w:t xml:space="preserve"> J 2016;21(2):</w:t>
            </w:r>
            <w:r>
              <w:t>74-78.</w:t>
            </w:r>
          </w:p>
          <w:p w:rsidR="00763F80" w:rsidRDefault="00763F80" w:rsidP="00011309"/>
          <w:p w:rsidR="00763F80" w:rsidRDefault="00763F80" w:rsidP="00011309"/>
          <w:p w:rsidR="00763F80" w:rsidRPr="00FD095F" w:rsidRDefault="00763F80" w:rsidP="00011309">
            <w:pPr>
              <w:rPr>
                <w:b/>
                <w:bCs/>
              </w:rPr>
            </w:pPr>
          </w:p>
        </w:tc>
      </w:tr>
      <w:tr w:rsidR="00763F80" w:rsidRPr="00C7486C" w:rsidTr="003177EB">
        <w:trPr>
          <w:trHeight w:val="555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C7486C" w:rsidRDefault="00763F80" w:rsidP="00011309">
            <w:pPr>
              <w:jc w:val="both"/>
              <w:rPr>
                <w:b/>
                <w:bCs/>
              </w:rPr>
            </w:pPr>
            <w:r w:rsidRPr="00C7486C">
              <w:rPr>
                <w:b/>
                <w:bCs/>
              </w:rPr>
              <w:lastRenderedPageBreak/>
              <w:t xml:space="preserve">7.5. Ulusal bilimsel toplantılarda sunulan bildiri kitabında basılan bildiriler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  <w:bCs/>
                <w:color w:val="333333"/>
              </w:rPr>
              <w:t>Erbaş C,</w:t>
            </w:r>
            <w:r w:rsidRPr="00C7486C">
              <w:rPr>
                <w:rFonts w:ascii="Segoe UI" w:hAnsi="Segoe UI" w:cs="Segoe UI"/>
                <w:color w:val="333333"/>
              </w:rPr>
              <w:t xml:space="preserve"> </w:t>
            </w:r>
            <w:r w:rsidRPr="00C7486C">
              <w:rPr>
                <w:color w:val="333333"/>
              </w:rPr>
              <w:t xml:space="preserve">Yıldız A, Arat A, Okuyan E, Binici G, </w:t>
            </w:r>
            <w:proofErr w:type="spellStart"/>
            <w:r w:rsidRPr="00C7486C">
              <w:rPr>
                <w:color w:val="333333"/>
              </w:rPr>
              <w:t>Pehlivanoglu</w:t>
            </w:r>
            <w:proofErr w:type="spellEnd"/>
            <w:r w:rsidRPr="00C7486C">
              <w:rPr>
                <w:color w:val="333333"/>
              </w:rPr>
              <w:t xml:space="preserve"> S, </w:t>
            </w:r>
            <w:proofErr w:type="spellStart"/>
            <w:r w:rsidRPr="00C7486C">
              <w:rPr>
                <w:color w:val="333333"/>
              </w:rPr>
              <w:t>Enar</w:t>
            </w:r>
            <w:proofErr w:type="spellEnd"/>
            <w:r w:rsidRPr="00C7486C">
              <w:rPr>
                <w:color w:val="333333"/>
              </w:rPr>
              <w:t xml:space="preserve"> R, </w:t>
            </w:r>
            <w:proofErr w:type="spellStart"/>
            <w:r w:rsidRPr="00C7486C">
              <w:rPr>
                <w:color w:val="333333"/>
              </w:rPr>
              <w:t>Unstable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Angina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Pektoris</w:t>
            </w:r>
            <w:proofErr w:type="spellEnd"/>
            <w:r w:rsidRPr="00C7486C">
              <w:rPr>
                <w:color w:val="333333"/>
              </w:rPr>
              <w:t xml:space="preserve"> Risk Gruplarında QT Dispersiyonunun Klinik Önemi, XVI. Ulusal Kardiyoloji Kongresi, Cilt 28, SB 124, Antalya, 2000.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color w:val="333333"/>
              </w:rPr>
              <w:t xml:space="preserve">Sayar N, Binici G, </w:t>
            </w:r>
            <w:r w:rsidRPr="00C7486C">
              <w:rPr>
                <w:b/>
                <w:bCs/>
                <w:color w:val="333333"/>
              </w:rPr>
              <w:t>Erbaş C</w:t>
            </w:r>
            <w:r w:rsidRPr="00C7486C">
              <w:rPr>
                <w:color w:val="333333"/>
              </w:rPr>
              <w:t xml:space="preserve">, Arat A, Kaya S, Pehlivanoğlu S, </w:t>
            </w:r>
            <w:proofErr w:type="spellStart"/>
            <w:r w:rsidRPr="00C7486C">
              <w:rPr>
                <w:color w:val="333333"/>
              </w:rPr>
              <w:t>Enar</w:t>
            </w:r>
            <w:proofErr w:type="spellEnd"/>
            <w:r w:rsidRPr="00C7486C">
              <w:rPr>
                <w:color w:val="333333"/>
              </w:rPr>
              <w:t xml:space="preserve"> R, ST </w:t>
            </w:r>
            <w:proofErr w:type="spellStart"/>
            <w:r w:rsidRPr="00C7486C">
              <w:rPr>
                <w:color w:val="333333"/>
              </w:rPr>
              <w:t>Elevasyonlu</w:t>
            </w:r>
            <w:proofErr w:type="spellEnd"/>
            <w:r w:rsidRPr="00C7486C">
              <w:rPr>
                <w:color w:val="333333"/>
              </w:rPr>
              <w:t xml:space="preserve"> Akut </w:t>
            </w:r>
            <w:proofErr w:type="spellStart"/>
            <w:r w:rsidRPr="00C7486C">
              <w:rPr>
                <w:color w:val="333333"/>
              </w:rPr>
              <w:t>Miyokard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İnfarktüsünde</w:t>
            </w:r>
            <w:proofErr w:type="spellEnd"/>
            <w:r w:rsidRPr="00C7486C">
              <w:rPr>
                <w:color w:val="333333"/>
              </w:rPr>
              <w:t xml:space="preserve"> Sürekli ST </w:t>
            </w:r>
            <w:proofErr w:type="spellStart"/>
            <w:r w:rsidRPr="00C7486C">
              <w:rPr>
                <w:color w:val="333333"/>
              </w:rPr>
              <w:t>Segment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Monitörizasyonu</w:t>
            </w:r>
            <w:proofErr w:type="spellEnd"/>
            <w:r w:rsidRPr="00C7486C">
              <w:rPr>
                <w:color w:val="333333"/>
              </w:rPr>
              <w:t>, XVI. Ulusal Kardiyoloji Kongresi, Cilt 28, P 153, Antalya, 2000.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proofErr w:type="spellStart"/>
            <w:r w:rsidRPr="00C7486C">
              <w:t>Yildiz</w:t>
            </w:r>
            <w:proofErr w:type="spellEnd"/>
            <w:r w:rsidRPr="00C7486C">
              <w:t xml:space="preserve"> A, </w:t>
            </w:r>
            <w:proofErr w:type="spellStart"/>
            <w:r w:rsidRPr="00C7486C">
              <w:rPr>
                <w:b/>
                <w:bCs/>
              </w:rPr>
              <w:t>Erbas</w:t>
            </w:r>
            <w:proofErr w:type="spellEnd"/>
            <w:r w:rsidRPr="00C7486C">
              <w:rPr>
                <w:b/>
                <w:bCs/>
              </w:rPr>
              <w:t xml:space="preserve"> C</w:t>
            </w:r>
            <w:r w:rsidRPr="00C7486C">
              <w:t xml:space="preserve">, Arat A, Sipahi İ, </w:t>
            </w:r>
            <w:proofErr w:type="spellStart"/>
            <w:r w:rsidRPr="00C7486C">
              <w:t>Batukan</w:t>
            </w:r>
            <w:proofErr w:type="spellEnd"/>
            <w:r w:rsidRPr="00C7486C">
              <w:t xml:space="preserve"> O, </w:t>
            </w:r>
            <w:proofErr w:type="spellStart"/>
            <w:r w:rsidRPr="00C7486C">
              <w:t>Pehlivanoglu</w:t>
            </w:r>
            <w:proofErr w:type="spellEnd"/>
            <w:r w:rsidRPr="00C7486C">
              <w:t xml:space="preserve"> S, </w:t>
            </w:r>
            <w:proofErr w:type="spellStart"/>
            <w:r w:rsidRPr="00C7486C">
              <w:t>Enar</w:t>
            </w:r>
            <w:proofErr w:type="spellEnd"/>
            <w:r w:rsidRPr="00C7486C">
              <w:t xml:space="preserve"> R. </w:t>
            </w:r>
            <w:proofErr w:type="spellStart"/>
            <w:r w:rsidRPr="00C7486C">
              <w:t>Unstabil</w:t>
            </w:r>
            <w:proofErr w:type="spellEnd"/>
            <w:r w:rsidRPr="00C7486C">
              <w:rPr>
                <w:rFonts w:ascii="Segoe UI" w:hAnsi="Segoe UI" w:cs="Segoe UI"/>
              </w:rPr>
              <w:t xml:space="preserve"> </w:t>
            </w:r>
            <w:proofErr w:type="spellStart"/>
            <w:r w:rsidRPr="00C7486C">
              <w:t>angina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pektoriste</w:t>
            </w:r>
            <w:proofErr w:type="spellEnd"/>
            <w:r w:rsidRPr="00C7486C">
              <w:t xml:space="preserve"> risk gruplarının koroner anjiyografi bulguları ile </w:t>
            </w:r>
            <w:proofErr w:type="gramStart"/>
            <w:r w:rsidRPr="00C7486C">
              <w:t>korelasyonu</w:t>
            </w:r>
            <w:proofErr w:type="gramEnd"/>
            <w:r w:rsidRPr="00C7486C">
              <w:t>. Türk</w:t>
            </w:r>
            <w:r w:rsidRPr="00C7486C">
              <w:rPr>
                <w:rFonts w:ascii="Segoe UI" w:hAnsi="Segoe UI" w:cs="Segoe UI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Kardiyol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Dern</w:t>
            </w:r>
            <w:proofErr w:type="spellEnd"/>
            <w:r w:rsidRPr="00C7486C">
              <w:rPr>
                <w:color w:val="333333"/>
              </w:rPr>
              <w:t xml:space="preserve"> Arş 2000;28 (</w:t>
            </w:r>
            <w:proofErr w:type="spellStart"/>
            <w:r w:rsidRPr="00C7486C">
              <w:rPr>
                <w:color w:val="333333"/>
              </w:rPr>
              <w:t>suppl</w:t>
            </w:r>
            <w:proofErr w:type="spellEnd"/>
            <w:r w:rsidRPr="00C7486C">
              <w:rPr>
                <w:color w:val="333333"/>
              </w:rPr>
              <w:t xml:space="preserve"> 1):P28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  <w:rPr>
                <w:rFonts w:ascii="Segoe UI" w:hAnsi="Segoe UI" w:cs="Segoe UI"/>
              </w:rPr>
            </w:pPr>
            <w:r w:rsidRPr="00C7486C">
              <w:rPr>
                <w:color w:val="333333"/>
              </w:rPr>
              <w:t xml:space="preserve">A Yıldız, </w:t>
            </w:r>
            <w:r w:rsidRPr="00C7486C">
              <w:rPr>
                <w:b/>
                <w:bCs/>
                <w:color w:val="333333"/>
              </w:rPr>
              <w:t>C Yıldız</w:t>
            </w:r>
            <w:r w:rsidRPr="00C7486C">
              <w:rPr>
                <w:color w:val="333333"/>
              </w:rPr>
              <w:t xml:space="preserve">. </w:t>
            </w:r>
            <w:proofErr w:type="spellStart"/>
            <w:r w:rsidRPr="00C7486C">
              <w:rPr>
                <w:color w:val="333333"/>
              </w:rPr>
              <w:t>Atriyal</w:t>
            </w:r>
            <w:proofErr w:type="spellEnd"/>
            <w:r w:rsidRPr="00C7486C">
              <w:rPr>
                <w:color w:val="333333"/>
              </w:rPr>
              <w:t xml:space="preserve"> </w:t>
            </w:r>
            <w:proofErr w:type="spellStart"/>
            <w:r w:rsidRPr="00C7486C">
              <w:rPr>
                <w:color w:val="333333"/>
              </w:rPr>
              <w:t>fibrilasyonda</w:t>
            </w:r>
            <w:proofErr w:type="spellEnd"/>
            <w:r w:rsidRPr="00C7486C">
              <w:rPr>
                <w:color w:val="333333"/>
              </w:rPr>
              <w:t xml:space="preserve"> pıhtı önleyici tedavi uygulamalarında kılavuzlara uygunluğun araştırılması. İkincil merkez deneyimi.</w:t>
            </w:r>
            <w:r w:rsidRPr="00C7486C">
              <w:rPr>
                <w:rFonts w:ascii="Segoe UI" w:hAnsi="Segoe UI" w:cs="Segoe UI"/>
                <w:color w:val="333333"/>
              </w:rPr>
              <w:t xml:space="preserve"> </w:t>
            </w:r>
            <w:r w:rsidRPr="00C7486C">
              <w:rPr>
                <w:color w:val="333333"/>
              </w:rPr>
              <w:t>29. Uluslararası Katılımlı Türk Kardiyoloji Kongresi PP-160 Antalya, 2013</w:t>
            </w:r>
            <w:r w:rsidRPr="00C7486C">
              <w:rPr>
                <w:rFonts w:ascii="Segoe UI" w:hAnsi="Segoe UI" w:cs="Segoe UI"/>
              </w:rPr>
              <w:t xml:space="preserve"> 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</w:rPr>
              <w:t>Yıldız C</w:t>
            </w:r>
            <w:r w:rsidRPr="00C7486C">
              <w:t xml:space="preserve">, Yıldız A, Tekiner F, </w:t>
            </w:r>
            <w:proofErr w:type="spellStart"/>
            <w:r w:rsidRPr="00C7486C">
              <w:t>Karakurt</w:t>
            </w:r>
            <w:proofErr w:type="spellEnd"/>
            <w:r w:rsidRPr="00C7486C">
              <w:t xml:space="preserve"> A. </w:t>
            </w:r>
            <w:proofErr w:type="spellStart"/>
            <w:r w:rsidRPr="00C7486C">
              <w:t>Heart</w:t>
            </w:r>
            <w:proofErr w:type="spellEnd"/>
            <w:r w:rsidRPr="00C7486C">
              <w:t xml:space="preserve"> rate </w:t>
            </w:r>
            <w:proofErr w:type="spellStart"/>
            <w:r w:rsidRPr="00C7486C">
              <w:t>turbulence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analysis</w:t>
            </w:r>
            <w:proofErr w:type="spellEnd"/>
            <w:r w:rsidRPr="00C7486C">
              <w:t xml:space="preserve"> in </w:t>
            </w:r>
            <w:proofErr w:type="spellStart"/>
            <w:r w:rsidRPr="00C7486C">
              <w:t>subclinical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hypothyroidism</w:t>
            </w:r>
            <w:proofErr w:type="spellEnd"/>
            <w:r w:rsidRPr="00C7486C">
              <w:t>. 1.Kardiyovasküler Akademi Kongresi P36. Kıbrıs, 2015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rPr>
                <w:b/>
              </w:rPr>
              <w:t>Yıldız C</w:t>
            </w:r>
            <w:r w:rsidRPr="00C7486C">
              <w:t xml:space="preserve">, Yıldız A, Tekiner F, </w:t>
            </w:r>
            <w:proofErr w:type="spellStart"/>
            <w:r w:rsidRPr="00C7486C">
              <w:t>Karakurt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A.Comparison</w:t>
            </w:r>
            <w:proofErr w:type="spellEnd"/>
            <w:r w:rsidRPr="00C7486C">
              <w:t xml:space="preserve"> of serum </w:t>
            </w:r>
            <w:proofErr w:type="spellStart"/>
            <w:proofErr w:type="gramStart"/>
            <w:r w:rsidRPr="00C7486C">
              <w:t>lipid</w:t>
            </w:r>
            <w:proofErr w:type="spellEnd"/>
            <w:r w:rsidRPr="00C7486C">
              <w:t xml:space="preserve">  profile</w:t>
            </w:r>
            <w:proofErr w:type="gramEnd"/>
            <w:r w:rsidRPr="00C7486C">
              <w:t xml:space="preserve"> </w:t>
            </w:r>
            <w:proofErr w:type="spellStart"/>
            <w:r w:rsidRPr="00C7486C">
              <w:t>and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plasma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atherogenic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index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between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premenopausal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and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postmenopausal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women</w:t>
            </w:r>
            <w:proofErr w:type="spellEnd"/>
            <w:r w:rsidRPr="00C7486C">
              <w:t>. 1.Kardiyovasküler Akademi Kongresi P37. Kıbrıs, 2015</w:t>
            </w: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t xml:space="preserve">Abdülmelik Yıldız, Mustafa </w:t>
            </w:r>
            <w:proofErr w:type="spellStart"/>
            <w:r w:rsidRPr="00C7486C">
              <w:t>Budancamanak</w:t>
            </w:r>
            <w:proofErr w:type="spellEnd"/>
            <w:r w:rsidRPr="00C7486C">
              <w:t xml:space="preserve">, </w:t>
            </w:r>
            <w:r w:rsidRPr="00C7486C">
              <w:rPr>
                <w:b/>
              </w:rPr>
              <w:t>Cennet Yıldız</w:t>
            </w:r>
            <w:r w:rsidRPr="00C7486C">
              <w:t xml:space="preserve">. </w:t>
            </w:r>
            <w:proofErr w:type="spellStart"/>
            <w:r w:rsidRPr="00C7486C">
              <w:t>Brugada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syndrome</w:t>
            </w:r>
            <w:proofErr w:type="spellEnd"/>
            <w:r w:rsidRPr="00C7486C">
              <w:t xml:space="preserve">; </w:t>
            </w:r>
            <w:proofErr w:type="spellStart"/>
            <w:r w:rsidRPr="00C7486C">
              <w:t>cause</w:t>
            </w:r>
            <w:proofErr w:type="spellEnd"/>
            <w:r w:rsidRPr="00C7486C">
              <w:t xml:space="preserve"> of </w:t>
            </w:r>
            <w:proofErr w:type="spellStart"/>
            <w:r w:rsidRPr="00C7486C">
              <w:t>syncope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during</w:t>
            </w:r>
            <w:proofErr w:type="spellEnd"/>
            <w:r w:rsidRPr="00C7486C">
              <w:t xml:space="preserve"> TENS therapy.31. </w:t>
            </w:r>
            <w:proofErr w:type="spellStart"/>
            <w:r w:rsidRPr="00C7486C">
              <w:t>Uuslararası</w:t>
            </w:r>
            <w:proofErr w:type="spellEnd"/>
            <w:r w:rsidRPr="00C7486C">
              <w:t xml:space="preserve"> katılımlı Türk Kardiyoloji Kongresi. SO-04.  22-25 Ekim. </w:t>
            </w:r>
            <w:proofErr w:type="gramStart"/>
            <w:r w:rsidRPr="00C7486C">
              <w:t>Antalya  2015</w:t>
            </w:r>
            <w:proofErr w:type="gramEnd"/>
            <w:r w:rsidRPr="00C7486C">
              <w:t>.</w:t>
            </w:r>
          </w:p>
          <w:p w:rsidR="00763F80" w:rsidRDefault="00763F80" w:rsidP="00011309">
            <w:pPr>
              <w:pStyle w:val="NormalWeb"/>
              <w:spacing w:line="272" w:lineRule="atLeast"/>
              <w:jc w:val="both"/>
            </w:pPr>
            <w:r w:rsidRPr="00C7486C">
              <w:lastRenderedPageBreak/>
              <w:t xml:space="preserve">Ahmet </w:t>
            </w:r>
            <w:proofErr w:type="spellStart"/>
            <w:r w:rsidRPr="00C7486C">
              <w:t>Karakurt</w:t>
            </w:r>
            <w:proofErr w:type="spellEnd"/>
            <w:r w:rsidRPr="00C7486C">
              <w:t xml:space="preserve">, </w:t>
            </w:r>
            <w:r w:rsidRPr="00C7486C">
              <w:rPr>
                <w:b/>
              </w:rPr>
              <w:t>Cennet Yıldız</w:t>
            </w:r>
            <w:r w:rsidRPr="00C7486C">
              <w:t xml:space="preserve">, Abdülmelik Yıldız. </w:t>
            </w:r>
            <w:proofErr w:type="spellStart"/>
            <w:r w:rsidRPr="00C7486C">
              <w:t>Amiodarone-induced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exudative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bullous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lesion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and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hepatotoxicity</w:t>
            </w:r>
            <w:proofErr w:type="spellEnd"/>
            <w:r w:rsidRPr="00C7486C">
              <w:t xml:space="preserve"> in a </w:t>
            </w:r>
            <w:proofErr w:type="spellStart"/>
            <w:r w:rsidRPr="00C7486C">
              <w:t>patient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with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ventricular</w:t>
            </w:r>
            <w:proofErr w:type="spellEnd"/>
            <w:r w:rsidRPr="00C7486C">
              <w:t xml:space="preserve"> </w:t>
            </w:r>
            <w:proofErr w:type="spellStart"/>
            <w:r w:rsidRPr="00C7486C">
              <w:t>tachycardia</w:t>
            </w:r>
            <w:proofErr w:type="spellEnd"/>
            <w:r w:rsidRPr="00C7486C">
              <w:t xml:space="preserve">. 31. </w:t>
            </w:r>
            <w:proofErr w:type="spellStart"/>
            <w:r w:rsidRPr="00C7486C">
              <w:t>Uuslararası</w:t>
            </w:r>
            <w:proofErr w:type="spellEnd"/>
            <w:r w:rsidRPr="00C7486C">
              <w:t xml:space="preserve"> katılımlı Türk Kardiyoloj</w:t>
            </w:r>
            <w:r>
              <w:t>i Kongresi. PO-104,  22-25 Ekim,</w:t>
            </w:r>
            <w:r w:rsidRPr="00C7486C">
              <w:t xml:space="preserve"> </w:t>
            </w:r>
            <w:proofErr w:type="gramStart"/>
            <w:r w:rsidRPr="00C7486C">
              <w:t>Antalya  2015</w:t>
            </w:r>
            <w:proofErr w:type="gramEnd"/>
            <w:r w:rsidRPr="00C7486C">
              <w:t>.</w:t>
            </w:r>
          </w:p>
          <w:p w:rsidR="00763F80" w:rsidRDefault="00763F80" w:rsidP="00011309">
            <w:pPr>
              <w:pStyle w:val="xmsonormal"/>
              <w:jc w:val="both"/>
            </w:pPr>
            <w:r w:rsidRPr="002978EF">
              <w:rPr>
                <w:bCs/>
              </w:rPr>
              <w:t xml:space="preserve">Abdülmelik Yıldız, Özlem Seçen, </w:t>
            </w:r>
            <w:r w:rsidRPr="002978EF">
              <w:rPr>
                <w:b/>
                <w:bCs/>
              </w:rPr>
              <w:t>Cennet Yıldız</w:t>
            </w:r>
            <w:r w:rsidRPr="002978EF">
              <w:rPr>
                <w:bCs/>
              </w:rPr>
              <w:t>, Mehtap Çiçekçi.</w:t>
            </w:r>
            <w:r w:rsidRPr="002978EF">
              <w:t xml:space="preserve"> </w:t>
            </w:r>
            <w:proofErr w:type="spellStart"/>
            <w:r w:rsidRPr="002978EF">
              <w:t>Relationship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between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breast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arterial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calcification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and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lipid</w:t>
            </w:r>
            <w:proofErr w:type="spellEnd"/>
            <w:r w:rsidRPr="002978EF">
              <w:t xml:space="preserve"> </w:t>
            </w:r>
            <w:proofErr w:type="gramStart"/>
            <w:r w:rsidRPr="002978EF">
              <w:t>profile</w:t>
            </w:r>
            <w:proofErr w:type="gramEnd"/>
            <w:r w:rsidRPr="002978EF">
              <w:t xml:space="preserve">, </w:t>
            </w:r>
            <w:proofErr w:type="spellStart"/>
            <w:r w:rsidRPr="002978EF">
              <w:t>plasma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atherogenic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index</w:t>
            </w:r>
            <w:proofErr w:type="spellEnd"/>
            <w:r w:rsidRPr="002978EF">
              <w:t xml:space="preserve">, </w:t>
            </w:r>
            <w:proofErr w:type="spellStart"/>
            <w:r w:rsidRPr="002978EF">
              <w:t>Castelli’s</w:t>
            </w:r>
            <w:proofErr w:type="spellEnd"/>
            <w:r w:rsidRPr="002978EF">
              <w:t xml:space="preserve"> risk </w:t>
            </w:r>
            <w:proofErr w:type="spellStart"/>
            <w:r w:rsidRPr="002978EF">
              <w:t>index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and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atherogenic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coefficient</w:t>
            </w:r>
            <w:proofErr w:type="spellEnd"/>
            <w:r w:rsidRPr="002978EF">
              <w:t xml:space="preserve"> in </w:t>
            </w:r>
            <w:proofErr w:type="spellStart"/>
            <w:r w:rsidRPr="002978EF">
              <w:t>premenopausal</w:t>
            </w:r>
            <w:proofErr w:type="spellEnd"/>
            <w:r w:rsidRPr="002978EF">
              <w:t xml:space="preserve"> </w:t>
            </w:r>
            <w:proofErr w:type="spellStart"/>
            <w:r w:rsidRPr="002978EF">
              <w:t>women</w:t>
            </w:r>
            <w:proofErr w:type="spellEnd"/>
            <w:r w:rsidRPr="002978EF">
              <w:t xml:space="preserve"> 3. </w:t>
            </w:r>
            <w:proofErr w:type="spellStart"/>
            <w:r w:rsidRPr="002978EF">
              <w:t>Kardiyo</w:t>
            </w:r>
            <w:proofErr w:type="spellEnd"/>
            <w:r w:rsidRPr="002978EF">
              <w:t xml:space="preserve"> Bahar, Kardiyoloji Bahar Güncellemesi.</w:t>
            </w:r>
            <w:r>
              <w:t xml:space="preserve"> P-103,</w:t>
            </w:r>
            <w:r w:rsidRPr="002978EF">
              <w:t xml:space="preserve"> 03-06 Mart, Kıbrıs 2016. </w:t>
            </w:r>
          </w:p>
          <w:p w:rsidR="00763F80" w:rsidRDefault="00763F80" w:rsidP="00011309">
            <w:pPr>
              <w:pStyle w:val="xmsonormal"/>
              <w:jc w:val="both"/>
            </w:pPr>
            <w:r>
              <w:rPr>
                <w:bCs/>
              </w:rPr>
              <w:t>Abdülmelik Yıldız</w:t>
            </w:r>
            <w:r w:rsidRPr="00316BB6">
              <w:rPr>
                <w:b/>
                <w:bCs/>
              </w:rPr>
              <w:t>, Cennet Yıldız</w:t>
            </w:r>
            <w:r>
              <w:rPr>
                <w:bCs/>
              </w:rPr>
              <w:t xml:space="preserve">, Bayram Bağırtan, Ahmet </w:t>
            </w:r>
            <w:proofErr w:type="spellStart"/>
            <w:r>
              <w:rPr>
                <w:bCs/>
              </w:rPr>
              <w:t>Karakurt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Pr="00316BB6">
              <w:t>Prognostic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value</w:t>
            </w:r>
            <w:proofErr w:type="spellEnd"/>
            <w:r w:rsidRPr="00316BB6">
              <w:t xml:space="preserve"> of </w:t>
            </w:r>
            <w:proofErr w:type="spellStart"/>
            <w:r w:rsidRPr="00316BB6">
              <w:t>anatomical</w:t>
            </w:r>
            <w:proofErr w:type="spellEnd"/>
            <w:r w:rsidRPr="00316BB6">
              <w:t xml:space="preserve"> SYNTAX </w:t>
            </w:r>
            <w:proofErr w:type="spellStart"/>
            <w:r w:rsidRPr="00316BB6">
              <w:t>score</w:t>
            </w:r>
            <w:proofErr w:type="spellEnd"/>
            <w:r w:rsidRPr="00316BB6">
              <w:t xml:space="preserve"> in </w:t>
            </w:r>
            <w:proofErr w:type="spellStart"/>
            <w:r w:rsidRPr="00316BB6">
              <w:t>patients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with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acute</w:t>
            </w:r>
            <w:proofErr w:type="spellEnd"/>
            <w:r w:rsidRPr="00316BB6">
              <w:t xml:space="preserve"> ST </w:t>
            </w:r>
            <w:proofErr w:type="spellStart"/>
            <w:r w:rsidRPr="00316BB6">
              <w:t>elevation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myocardial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infarcion</w:t>
            </w:r>
            <w:proofErr w:type="spellEnd"/>
            <w:r w:rsidRPr="00316BB6">
              <w:t xml:space="preserve">  </w:t>
            </w:r>
            <w:proofErr w:type="spellStart"/>
            <w:r w:rsidRPr="00316BB6">
              <w:t>undergoing</w:t>
            </w:r>
            <w:proofErr w:type="spellEnd"/>
            <w:r w:rsidRPr="00316BB6">
              <w:t xml:space="preserve">  </w:t>
            </w:r>
            <w:proofErr w:type="spellStart"/>
            <w:r w:rsidRPr="00316BB6">
              <w:t>percutaneous</w:t>
            </w:r>
            <w:proofErr w:type="spellEnd"/>
            <w:r w:rsidRPr="00316BB6">
              <w:t xml:space="preserve">  </w:t>
            </w:r>
            <w:proofErr w:type="spellStart"/>
            <w:r w:rsidRPr="00316BB6">
              <w:t>coronary</w:t>
            </w:r>
            <w:proofErr w:type="spellEnd"/>
            <w:r w:rsidRPr="00316BB6">
              <w:t xml:space="preserve">  </w:t>
            </w:r>
            <w:proofErr w:type="spellStart"/>
            <w:r w:rsidRPr="00316BB6">
              <w:t>intervention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for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unprotected</w:t>
            </w:r>
            <w:proofErr w:type="spellEnd"/>
            <w:r w:rsidRPr="00316BB6">
              <w:t xml:space="preserve"> </w:t>
            </w:r>
            <w:proofErr w:type="spellStart"/>
            <w:r w:rsidRPr="00316BB6">
              <w:t>left</w:t>
            </w:r>
            <w:proofErr w:type="spellEnd"/>
            <w:r w:rsidRPr="00316BB6">
              <w:t xml:space="preserve"> main </w:t>
            </w:r>
            <w:proofErr w:type="spellStart"/>
            <w:r w:rsidRPr="00316BB6">
              <w:t>coronary</w:t>
            </w:r>
            <w:proofErr w:type="spellEnd"/>
            <w:r w:rsidRPr="00316BB6">
              <w:t xml:space="preserve">  </w:t>
            </w:r>
            <w:proofErr w:type="spellStart"/>
            <w:r w:rsidRPr="00316BB6">
              <w:t>artery</w:t>
            </w:r>
            <w:proofErr w:type="spellEnd"/>
            <w:r>
              <w:t xml:space="preserve">. </w:t>
            </w:r>
            <w:r w:rsidRPr="002978EF">
              <w:t xml:space="preserve">3. </w:t>
            </w:r>
            <w:proofErr w:type="spellStart"/>
            <w:r w:rsidRPr="002978EF">
              <w:t>Kardiyo</w:t>
            </w:r>
            <w:proofErr w:type="spellEnd"/>
            <w:r w:rsidRPr="002978EF">
              <w:t xml:space="preserve"> Bahar, Kardiyoloji Bahar Güncellemesi.</w:t>
            </w:r>
            <w:r>
              <w:t xml:space="preserve"> P-105, </w:t>
            </w:r>
            <w:r w:rsidRPr="002978EF">
              <w:t xml:space="preserve"> 03-06 Mart, Kıbrıs 2016. </w:t>
            </w:r>
          </w:p>
          <w:p w:rsidR="00763F80" w:rsidRPr="00321410" w:rsidRDefault="00763F80" w:rsidP="00011309">
            <w:pPr>
              <w:pStyle w:val="xmsonormal"/>
              <w:jc w:val="both"/>
            </w:pPr>
            <w:r w:rsidRPr="00321410">
              <w:rPr>
                <w:bCs/>
              </w:rPr>
              <w:t xml:space="preserve">Abdülmelik Yıldız, Fatih Tekiner, Ahmet </w:t>
            </w:r>
            <w:proofErr w:type="spellStart"/>
            <w:r w:rsidRPr="00321410">
              <w:rPr>
                <w:bCs/>
              </w:rPr>
              <w:t>Karakurt</w:t>
            </w:r>
            <w:proofErr w:type="spellEnd"/>
            <w:r w:rsidRPr="00321410">
              <w:rPr>
                <w:bCs/>
              </w:rPr>
              <w:t xml:space="preserve">, Gökçe Şirin, Dursun Duman, </w:t>
            </w:r>
            <w:r w:rsidRPr="00321410">
              <w:rPr>
                <w:b/>
                <w:bCs/>
              </w:rPr>
              <w:t xml:space="preserve">Cennet </w:t>
            </w:r>
            <w:proofErr w:type="gramStart"/>
            <w:r w:rsidRPr="00321410">
              <w:rPr>
                <w:b/>
                <w:bCs/>
              </w:rPr>
              <w:t>Yıldız</w:t>
            </w:r>
            <w:r w:rsidRPr="00321410">
              <w:rPr>
                <w:bCs/>
              </w:rPr>
              <w:t xml:space="preserve"> .</w:t>
            </w:r>
            <w:proofErr w:type="gramEnd"/>
            <w:r w:rsidRPr="00321410">
              <w:t xml:space="preserve"> </w:t>
            </w:r>
            <w:proofErr w:type="spellStart"/>
            <w:r w:rsidRPr="00321410">
              <w:rPr>
                <w:lang w:val="en-US"/>
              </w:rPr>
              <w:t>Preprocedural</w:t>
            </w:r>
            <w:proofErr w:type="spellEnd"/>
            <w:r w:rsidRPr="00321410">
              <w:rPr>
                <w:lang w:val="en-US"/>
              </w:rPr>
              <w:t xml:space="preserve"> red blood cell distribution width </w:t>
            </w:r>
            <w:r w:rsidRPr="00321410">
              <w:rPr>
                <w:lang w:val="nb-NO"/>
              </w:rPr>
              <w:t>predicts bare metal stent restenosis.</w:t>
            </w:r>
            <w:r w:rsidRPr="00321410">
              <w:t xml:space="preserve"> 3. </w:t>
            </w:r>
            <w:proofErr w:type="spellStart"/>
            <w:r w:rsidRPr="00321410">
              <w:t>Kardiyo</w:t>
            </w:r>
            <w:proofErr w:type="spellEnd"/>
            <w:r w:rsidRPr="00321410">
              <w:t xml:space="preserve"> Bahar, Kardiyoloji Bahar Güncellemesi.</w:t>
            </w:r>
            <w:r>
              <w:t xml:space="preserve"> P-057,</w:t>
            </w:r>
            <w:r w:rsidRPr="00321410">
              <w:t xml:space="preserve"> 03-06 Mart, Kıbrıs 2016. </w:t>
            </w:r>
          </w:p>
          <w:p w:rsidR="00763F80" w:rsidRDefault="00763F80" w:rsidP="00011309">
            <w:pPr>
              <w:pStyle w:val="xmsonormal"/>
            </w:pPr>
            <w:r w:rsidRPr="00321410">
              <w:rPr>
                <w:bCs/>
              </w:rPr>
              <w:t xml:space="preserve">Abdülmelik </w:t>
            </w:r>
            <w:proofErr w:type="gramStart"/>
            <w:r w:rsidRPr="00321410">
              <w:rPr>
                <w:bCs/>
              </w:rPr>
              <w:t xml:space="preserve">Yıldız , </w:t>
            </w:r>
            <w:r w:rsidRPr="00321410">
              <w:rPr>
                <w:b/>
                <w:bCs/>
              </w:rPr>
              <w:t>Cennet</w:t>
            </w:r>
            <w:proofErr w:type="gramEnd"/>
            <w:r w:rsidRPr="00321410">
              <w:rPr>
                <w:b/>
                <w:bCs/>
              </w:rPr>
              <w:t xml:space="preserve"> Yıldız</w:t>
            </w:r>
            <w:r>
              <w:rPr>
                <w:bCs/>
              </w:rPr>
              <w:t xml:space="preserve">. </w:t>
            </w:r>
            <w:r w:rsidRPr="00321410">
              <w:rPr>
                <w:lang w:val="en-US"/>
              </w:rPr>
              <w:t xml:space="preserve">Long-term clinical results of saphenous vein bypass graft lesions treated with Bare-Metal Stents and Drug Eluting Stents. </w:t>
            </w:r>
            <w:r w:rsidRPr="00321410">
              <w:t xml:space="preserve">3. </w:t>
            </w:r>
            <w:proofErr w:type="spellStart"/>
            <w:r w:rsidRPr="00321410">
              <w:t>Kardiyo</w:t>
            </w:r>
            <w:proofErr w:type="spellEnd"/>
            <w:r w:rsidRPr="00321410">
              <w:t xml:space="preserve"> Bahar, Kardiyoloji Bahar Güncellemesi.</w:t>
            </w:r>
            <w:r>
              <w:t xml:space="preserve"> P-104,</w:t>
            </w:r>
            <w:r w:rsidRPr="00321410">
              <w:t xml:space="preserve"> 03-06 Mart, Kıbrıs 2016.</w:t>
            </w:r>
          </w:p>
          <w:p w:rsidR="00763F80" w:rsidRDefault="00763F80" w:rsidP="00011309">
            <w:pPr>
              <w:pStyle w:val="xmso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Ahmet </w:t>
            </w:r>
            <w:proofErr w:type="spellStart"/>
            <w:r>
              <w:rPr>
                <w:lang w:val="en-US"/>
              </w:rPr>
              <w:t>Karakurt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9E1C95">
              <w:rPr>
                <w:b/>
                <w:lang w:val="en-US"/>
              </w:rPr>
              <w:t>Cennet</w:t>
            </w:r>
            <w:proofErr w:type="spellEnd"/>
            <w:r w:rsidRPr="009E1C95">
              <w:rPr>
                <w:b/>
                <w:lang w:val="en-US"/>
              </w:rPr>
              <w:t xml:space="preserve"> </w:t>
            </w:r>
            <w:proofErr w:type="spellStart"/>
            <w:r w:rsidRPr="009E1C95">
              <w:rPr>
                <w:b/>
                <w:lang w:val="en-US"/>
              </w:rPr>
              <w:t>Yıldız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Akut</w:t>
            </w:r>
            <w:proofErr w:type="spellEnd"/>
            <w:r>
              <w:rPr>
                <w:lang w:val="en-US"/>
              </w:rPr>
              <w:t xml:space="preserve"> non-ST </w:t>
            </w:r>
            <w:proofErr w:type="spellStart"/>
            <w:r>
              <w:rPr>
                <w:lang w:val="en-US"/>
              </w:rPr>
              <w:t>elevasyonlu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miyokart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enfarktüslü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hastalarda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epikardiyal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kalınlığı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coroner </w:t>
            </w:r>
            <w:proofErr w:type="spellStart"/>
            <w:r>
              <w:rPr>
                <w:lang w:val="en-US"/>
              </w:rPr>
              <w:t>arter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hastalığı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kompleksitesi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arasındaki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ilişki</w:t>
            </w:r>
            <w:proofErr w:type="spellEnd"/>
            <w:r>
              <w:rPr>
                <w:lang w:val="en-US"/>
              </w:rPr>
              <w:t xml:space="preserve">. 2. </w:t>
            </w:r>
            <w:proofErr w:type="spellStart"/>
            <w:r>
              <w:rPr>
                <w:lang w:val="en-US"/>
              </w:rPr>
              <w:t>Kardiyovasküler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Kongresi</w:t>
            </w:r>
            <w:proofErr w:type="spellEnd"/>
            <w:r>
              <w:rPr>
                <w:lang w:val="en-US"/>
              </w:rPr>
              <w:t xml:space="preserve">.  06-09 </w:t>
            </w:r>
            <w:proofErr w:type="spellStart"/>
            <w:r>
              <w:rPr>
                <w:lang w:val="en-US"/>
              </w:rPr>
              <w:t>Ekim</w:t>
            </w:r>
            <w:proofErr w:type="spellEnd"/>
            <w:r>
              <w:rPr>
                <w:lang w:val="en-US"/>
              </w:rPr>
              <w:t xml:space="preserve"> 2016, </w:t>
            </w:r>
            <w:proofErr w:type="spellStart"/>
            <w:r>
              <w:rPr>
                <w:lang w:val="en-US"/>
              </w:rPr>
              <w:t>Belek</w:t>
            </w:r>
            <w:proofErr w:type="spellEnd"/>
            <w:r>
              <w:rPr>
                <w:lang w:val="en-US"/>
              </w:rPr>
              <w:t xml:space="preserve">, Antalya. </w:t>
            </w:r>
          </w:p>
          <w:p w:rsidR="00763F80" w:rsidRDefault="00763F80" w:rsidP="00011309">
            <w:pPr>
              <w:pStyle w:val="xmso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Ahmet </w:t>
            </w:r>
            <w:proofErr w:type="spellStart"/>
            <w:r>
              <w:rPr>
                <w:lang w:val="en-US"/>
              </w:rPr>
              <w:t>Karakurt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9E1C95">
              <w:rPr>
                <w:b/>
                <w:lang w:val="en-US"/>
              </w:rPr>
              <w:t>Cennet</w:t>
            </w:r>
            <w:proofErr w:type="spellEnd"/>
            <w:r w:rsidRPr="009E1C95">
              <w:rPr>
                <w:b/>
                <w:lang w:val="en-US"/>
              </w:rPr>
              <w:t xml:space="preserve"> </w:t>
            </w:r>
            <w:proofErr w:type="spellStart"/>
            <w:r w:rsidRPr="009E1C95">
              <w:rPr>
                <w:b/>
                <w:lang w:val="en-US"/>
              </w:rPr>
              <w:t>Yıldız</w:t>
            </w:r>
            <w:proofErr w:type="spellEnd"/>
            <w:r w:rsidRPr="009E1C95"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Kardiyovasküler</w:t>
            </w:r>
            <w:proofErr w:type="spellEnd"/>
            <w:r>
              <w:rPr>
                <w:lang w:val="en-US"/>
              </w:rPr>
              <w:t xml:space="preserve"> risk </w:t>
            </w:r>
            <w:proofErr w:type="spellStart"/>
            <w:r>
              <w:rPr>
                <w:lang w:val="en-US"/>
              </w:rPr>
              <w:t>tahmini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pre-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post-</w:t>
            </w:r>
            <w:proofErr w:type="spellStart"/>
            <w:r>
              <w:rPr>
                <w:lang w:val="en-US"/>
              </w:rPr>
              <w:t>menapozal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hayatta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nötrofil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lenfosit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değişikliklerinin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değerlendirilmesi</w:t>
            </w:r>
            <w:proofErr w:type="spellEnd"/>
            <w:r>
              <w:rPr>
                <w:lang w:val="en-US"/>
              </w:rPr>
              <w:t xml:space="preserve">. 2. </w:t>
            </w:r>
            <w:proofErr w:type="spellStart"/>
            <w:r>
              <w:rPr>
                <w:lang w:val="en-US"/>
              </w:rPr>
              <w:t>Kardiyovasküler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Kongresi</w:t>
            </w:r>
            <w:proofErr w:type="spellEnd"/>
            <w:r>
              <w:rPr>
                <w:lang w:val="en-US"/>
              </w:rPr>
              <w:t xml:space="preserve">.  06-09 </w:t>
            </w:r>
            <w:proofErr w:type="spellStart"/>
            <w:r>
              <w:rPr>
                <w:lang w:val="en-US"/>
              </w:rPr>
              <w:t>Ekim</w:t>
            </w:r>
            <w:proofErr w:type="spellEnd"/>
            <w:r>
              <w:rPr>
                <w:lang w:val="en-US"/>
              </w:rPr>
              <w:t xml:space="preserve"> 2016, </w:t>
            </w:r>
            <w:proofErr w:type="spellStart"/>
            <w:r>
              <w:rPr>
                <w:lang w:val="en-US"/>
              </w:rPr>
              <w:t>Belek</w:t>
            </w:r>
            <w:proofErr w:type="spellEnd"/>
            <w:r>
              <w:rPr>
                <w:lang w:val="en-US"/>
              </w:rPr>
              <w:t xml:space="preserve">, Antalya. </w:t>
            </w:r>
          </w:p>
          <w:p w:rsidR="00763F80" w:rsidRPr="007A7DDB" w:rsidRDefault="00763F80" w:rsidP="00011309">
            <w:pPr>
              <w:pStyle w:val="xmsonormal"/>
              <w:jc w:val="both"/>
            </w:pPr>
          </w:p>
          <w:p w:rsidR="00763F80" w:rsidRPr="00316BB6" w:rsidRDefault="00763F80" w:rsidP="00011309">
            <w:pPr>
              <w:pStyle w:val="xmsonormal"/>
              <w:jc w:val="both"/>
            </w:pPr>
          </w:p>
          <w:p w:rsidR="00763F80" w:rsidRPr="002978EF" w:rsidRDefault="00763F80" w:rsidP="00011309">
            <w:pPr>
              <w:pStyle w:val="xmsonormal"/>
              <w:jc w:val="both"/>
            </w:pP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</w:p>
          <w:p w:rsidR="00763F80" w:rsidRPr="00C7486C" w:rsidRDefault="00763F80" w:rsidP="00011309">
            <w:pPr>
              <w:pStyle w:val="NormalWeb"/>
              <w:spacing w:line="272" w:lineRule="atLeast"/>
              <w:jc w:val="both"/>
            </w:pPr>
          </w:p>
          <w:p w:rsidR="00763F80" w:rsidRPr="00C7486C" w:rsidRDefault="00763F80" w:rsidP="00011309">
            <w:pPr>
              <w:jc w:val="both"/>
              <w:rPr>
                <w:b/>
                <w:bCs/>
              </w:rPr>
            </w:pPr>
          </w:p>
        </w:tc>
      </w:tr>
      <w:tr w:rsidR="00763F80" w:rsidRPr="006649FC" w:rsidTr="003177EB">
        <w:trPr>
          <w:trHeight w:val="198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  <w:bCs/>
              </w:rPr>
            </w:pPr>
            <w:r w:rsidRPr="006649FC">
              <w:rPr>
                <w:b/>
                <w:bCs/>
              </w:rPr>
              <w:lastRenderedPageBreak/>
              <w:t xml:space="preserve">7.6 Diğer Yayınlar </w:t>
            </w:r>
          </w:p>
          <w:p w:rsidR="00763F80" w:rsidRPr="006649FC" w:rsidRDefault="00763F80" w:rsidP="00011309">
            <w:pPr>
              <w:jc w:val="both"/>
              <w:rPr>
                <w:b/>
                <w:bCs/>
              </w:rPr>
            </w:pPr>
          </w:p>
          <w:p w:rsidR="00763F80" w:rsidRPr="006649FC" w:rsidRDefault="00763F80" w:rsidP="00011309">
            <w:pPr>
              <w:jc w:val="both"/>
            </w:pPr>
            <w:proofErr w:type="spellStart"/>
            <w:r w:rsidRPr="006649FC">
              <w:rPr>
                <w:b/>
                <w:bCs/>
              </w:rPr>
              <w:t>The</w:t>
            </w:r>
            <w:proofErr w:type="spellEnd"/>
            <w:r w:rsidRPr="006649FC">
              <w:rPr>
                <w:b/>
                <w:bCs/>
              </w:rPr>
              <w:t xml:space="preserve"> </w:t>
            </w:r>
            <w:proofErr w:type="spellStart"/>
            <w:r w:rsidRPr="006649FC">
              <w:rPr>
                <w:b/>
                <w:bCs/>
              </w:rPr>
              <w:t>Hurst’s</w:t>
            </w:r>
            <w:proofErr w:type="spellEnd"/>
            <w:r w:rsidRPr="006649FC">
              <w:rPr>
                <w:b/>
                <w:bCs/>
              </w:rPr>
              <w:t xml:space="preserve"> HEART 10. Baskı bölüm çevirmenliği </w:t>
            </w:r>
          </w:p>
        </w:tc>
      </w:tr>
      <w:tr w:rsidR="00763F80" w:rsidRPr="006649FC" w:rsidTr="003177EB">
        <w:trPr>
          <w:trHeight w:val="63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</w:pPr>
            <w:r w:rsidRPr="006649FC">
              <w:rPr>
                <w:b/>
                <w:bCs/>
              </w:rPr>
              <w:lastRenderedPageBreak/>
              <w:t xml:space="preserve">  8.Projeler</w:t>
            </w:r>
          </w:p>
        </w:tc>
      </w:tr>
      <w:tr w:rsidR="00763F80" w:rsidRPr="006649FC" w:rsidTr="003177EB">
        <w:trPr>
          <w:trHeight w:val="975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</w:pPr>
            <w:r w:rsidRPr="006649FC">
              <w:rPr>
                <w:b/>
                <w:bCs/>
              </w:rPr>
              <w:t xml:space="preserve">  9.İdari Görevler </w:t>
            </w:r>
          </w:p>
        </w:tc>
      </w:tr>
      <w:tr w:rsidR="00763F80" w:rsidRPr="006649FC" w:rsidTr="003177EB">
        <w:trPr>
          <w:trHeight w:val="630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</w:pPr>
            <w:r w:rsidRPr="006649FC">
              <w:rPr>
                <w:b/>
                <w:bCs/>
              </w:rPr>
              <w:t xml:space="preserve">10.Bilimsel Kuruluşlara Üyelikleri </w:t>
            </w:r>
          </w:p>
        </w:tc>
      </w:tr>
      <w:tr w:rsidR="00763F80" w:rsidRPr="006649FC" w:rsidTr="003177EB">
        <w:trPr>
          <w:trHeight w:val="975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</w:pPr>
            <w:r w:rsidRPr="006649FC">
              <w:rPr>
                <w:b/>
                <w:bCs/>
              </w:rPr>
              <w:t xml:space="preserve">11.Ödüller </w:t>
            </w:r>
          </w:p>
        </w:tc>
      </w:tr>
      <w:tr w:rsidR="00763F80" w:rsidRPr="006649FC" w:rsidTr="003177EB">
        <w:trPr>
          <w:trHeight w:val="630"/>
        </w:trPr>
        <w:tc>
          <w:tcPr>
            <w:tcW w:w="96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</w:pPr>
            <w:r w:rsidRPr="006649FC">
              <w:rPr>
                <w:b/>
                <w:bCs/>
              </w:rPr>
              <w:t xml:space="preserve">12.Son iki yılda verdiği lisans ve lisansüstü düzeyindeki dersler </w:t>
            </w:r>
          </w:p>
        </w:tc>
      </w:tr>
      <w:tr w:rsidR="00763F80" w:rsidRPr="006649FC" w:rsidTr="003177EB">
        <w:trPr>
          <w:trHeight w:val="39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Akademik Yıl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Dersin Adı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Haftalık Saati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Öğrenci Sayısı</w:t>
            </w:r>
          </w:p>
        </w:tc>
      </w:tr>
      <w:tr w:rsidR="00763F80" w:rsidRPr="006649FC" w:rsidTr="003177EB">
        <w:trPr>
          <w:trHeight w:val="60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Teorik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Uygulama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</w:tr>
      <w:tr w:rsidR="00763F80" w:rsidRPr="006649FC" w:rsidTr="003177EB">
        <w:trPr>
          <w:trHeight w:val="2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2015-2016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GÜZ DÖNEMİ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SOLUNUM VE DOLAŞIM FİZYOLOJİSİ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30</w:t>
            </w:r>
          </w:p>
        </w:tc>
      </w:tr>
      <w:tr w:rsidR="00763F80" w:rsidRPr="006649FC" w:rsidTr="003177EB">
        <w:trPr>
          <w:trHeight w:val="388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</w:tr>
      <w:tr w:rsidR="00763F80" w:rsidRPr="006649FC" w:rsidTr="003177EB">
        <w:trPr>
          <w:trHeight w:val="56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2015-2016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BAHAR DÖNEMİ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HAYATI TEHDİT EDEN KOMPLİKASYONLAR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20</w:t>
            </w:r>
          </w:p>
        </w:tc>
      </w:tr>
      <w:tr w:rsidR="00763F80" w:rsidRPr="006649FC" w:rsidTr="003177EB">
        <w:trPr>
          <w:trHeight w:val="429"/>
        </w:trPr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 </w:t>
            </w:r>
          </w:p>
        </w:tc>
      </w:tr>
      <w:tr w:rsidR="00763F80" w:rsidRPr="006649FC" w:rsidTr="003177EB">
        <w:trPr>
          <w:trHeight w:val="255"/>
        </w:trPr>
        <w:tc>
          <w:tcPr>
            <w:tcW w:w="9677" w:type="dxa"/>
            <w:gridSpan w:val="9"/>
            <w:shd w:val="clear" w:color="auto" w:fill="auto"/>
            <w:noWrap/>
            <w:vAlign w:val="center"/>
          </w:tcPr>
          <w:p w:rsidR="00763F80" w:rsidRPr="006649FC" w:rsidRDefault="00763F80" w:rsidP="00011309">
            <w:pPr>
              <w:jc w:val="both"/>
              <w:rPr>
                <w:b/>
              </w:rPr>
            </w:pPr>
            <w:r w:rsidRPr="006649FC">
              <w:rPr>
                <w:b/>
              </w:rPr>
              <w:t>* İşaretli dersler, yüksek lisans dersleridir.</w:t>
            </w:r>
          </w:p>
        </w:tc>
      </w:tr>
    </w:tbl>
    <w:p w:rsidR="00763F80" w:rsidRPr="006649FC" w:rsidRDefault="00763F80" w:rsidP="00763F80">
      <w:pPr>
        <w:jc w:val="both"/>
        <w:rPr>
          <w:b/>
        </w:rPr>
      </w:pPr>
    </w:p>
    <w:p w:rsidR="003208DB" w:rsidRPr="006649FC" w:rsidRDefault="00DB0E1A"/>
    <w:sectPr w:rsidR="003208DB" w:rsidRPr="006649FC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9"/>
    <w:rsid w:val="003177EB"/>
    <w:rsid w:val="003D2A99"/>
    <w:rsid w:val="006649FC"/>
    <w:rsid w:val="0070457F"/>
    <w:rsid w:val="00763F80"/>
    <w:rsid w:val="007943E8"/>
    <w:rsid w:val="00D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4C88"/>
  <w15:chartTrackingRefBased/>
  <w15:docId w15:val="{767E3549-7096-4095-ACF1-C36CB27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3F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763F80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3F80"/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63F8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normaltextrun">
    <w:name w:val="normaltextrun"/>
    <w:rsid w:val="00763F80"/>
  </w:style>
  <w:style w:type="paragraph" w:styleId="NormalWeb">
    <w:name w:val="Normal (Web)"/>
    <w:basedOn w:val="Normal"/>
    <w:uiPriority w:val="99"/>
    <w:unhideWhenUsed/>
    <w:rsid w:val="00763F80"/>
    <w:pPr>
      <w:spacing w:before="100" w:beforeAutospacing="1" w:after="119"/>
    </w:pPr>
  </w:style>
  <w:style w:type="character" w:styleId="Kpr">
    <w:name w:val="Hyperlink"/>
    <w:uiPriority w:val="99"/>
    <w:unhideWhenUsed/>
    <w:rsid w:val="00763F80"/>
    <w:rPr>
      <w:color w:val="0000FF"/>
      <w:u w:val="single"/>
    </w:rPr>
  </w:style>
  <w:style w:type="paragraph" w:customStyle="1" w:styleId="xmsonormal">
    <w:name w:val="x_msonormal"/>
    <w:basedOn w:val="Normal"/>
    <w:rsid w:val="00763F80"/>
    <w:pPr>
      <w:spacing w:before="100" w:beforeAutospacing="1" w:after="100" w:afterAutospacing="1"/>
    </w:pPr>
  </w:style>
  <w:style w:type="paragraph" w:customStyle="1" w:styleId="Default">
    <w:name w:val="Default"/>
    <w:rsid w:val="00763F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16/j.ijcac.2016.05.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ijcac.2016.02.003" TargetMode="External"/><Relationship Id="rId5" Type="http://schemas.openxmlformats.org/officeDocument/2006/relationships/hyperlink" Target="http://www.sciencedirect.com/science/article/pii/S2405818115300106" TargetMode="External"/><Relationship Id="rId4" Type="http://schemas.openxmlformats.org/officeDocument/2006/relationships/hyperlink" Target="http://www.tandfonline.com/doi/pdf/10.1080/0803705027535439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2127</Words>
  <Characters>12130</Characters>
  <Application>Microsoft Office Word</Application>
  <DocSecurity>0</DocSecurity>
  <Lines>101</Lines>
  <Paragraphs>28</Paragraphs>
  <ScaleCrop>false</ScaleCrop>
  <Company>User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ZEHRA-YORUK</cp:lastModifiedBy>
  <cp:revision>5</cp:revision>
  <dcterms:created xsi:type="dcterms:W3CDTF">2016-11-23T08:18:00Z</dcterms:created>
  <dcterms:modified xsi:type="dcterms:W3CDTF">2019-03-11T08:46:00Z</dcterms:modified>
</cp:coreProperties>
</file>